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DE" w:rsidRDefault="004F5BDE" w:rsidP="00892FC2">
      <w:pPr>
        <w:jc w:val="center"/>
        <w:rPr>
          <w:b/>
          <w:sz w:val="22"/>
        </w:rPr>
      </w:pPr>
    </w:p>
    <w:p w:rsidR="001C133B" w:rsidRDefault="001C133B" w:rsidP="00892FC2">
      <w:pPr>
        <w:jc w:val="center"/>
        <w:rPr>
          <w:b/>
          <w:sz w:val="22"/>
        </w:rPr>
      </w:pPr>
    </w:p>
    <w:p w:rsidR="00A123CF" w:rsidRPr="006D56C9" w:rsidRDefault="00093323" w:rsidP="00892FC2">
      <w:pPr>
        <w:jc w:val="center"/>
        <w:rPr>
          <w:b/>
          <w:sz w:val="28"/>
        </w:rPr>
      </w:pPr>
      <w:r>
        <w:rPr>
          <w:b/>
          <w:sz w:val="28"/>
        </w:rPr>
        <w:t>Final report</w:t>
      </w:r>
    </w:p>
    <w:p w:rsidR="00A123CF" w:rsidRDefault="00A123CF" w:rsidP="00892FC2">
      <w:pPr>
        <w:jc w:val="center"/>
        <w:rPr>
          <w:b/>
          <w:sz w:val="28"/>
        </w:rPr>
      </w:pPr>
    </w:p>
    <w:p w:rsidR="00F22867" w:rsidRPr="007B5F66" w:rsidRDefault="00F22867" w:rsidP="00F22867">
      <w:pPr>
        <w:jc w:val="center"/>
        <w:rPr>
          <w:b/>
          <w:smallCaps/>
          <w:lang w:val="en-US"/>
        </w:rPr>
      </w:pPr>
      <w:r w:rsidRPr="007B5F66">
        <w:rPr>
          <w:b/>
          <w:smallCaps/>
        </w:rPr>
        <w:t>27</w:t>
      </w:r>
      <w:r w:rsidRPr="003B4EB7">
        <w:rPr>
          <w:b/>
          <w:smallCaps/>
          <w:vertAlign w:val="superscript"/>
        </w:rPr>
        <w:t>th</w:t>
      </w:r>
      <w:r>
        <w:rPr>
          <w:b/>
          <w:smallCaps/>
        </w:rPr>
        <w:t xml:space="preserve"> </w:t>
      </w:r>
      <w:r w:rsidRPr="007B5F66">
        <w:rPr>
          <w:b/>
          <w:smallCaps/>
          <w:lang w:val="en-US"/>
        </w:rPr>
        <w:t>GENERAL ASSEMBLY ESPMH</w:t>
      </w:r>
    </w:p>
    <w:p w:rsidR="00F22867" w:rsidRPr="00745DE3" w:rsidRDefault="00F22867" w:rsidP="00F22867">
      <w:pPr>
        <w:jc w:val="center"/>
        <w:rPr>
          <w:b/>
          <w:smallCaps/>
        </w:rPr>
      </w:pPr>
      <w:r w:rsidRPr="00745DE3">
        <w:rPr>
          <w:b/>
          <w:smallCaps/>
        </w:rPr>
        <w:t>Basel</w:t>
      </w:r>
      <w:r w:rsidRPr="00745DE3">
        <w:rPr>
          <w:b/>
          <w:smallCaps/>
          <w:lang w:val="en-US"/>
        </w:rPr>
        <w:t xml:space="preserve">, Switzerland, </w:t>
      </w:r>
      <w:r w:rsidRPr="00745DE3">
        <w:rPr>
          <w:b/>
          <w:smallCaps/>
        </w:rPr>
        <w:t xml:space="preserve">Friday 16 August, 2013 </w:t>
      </w:r>
    </w:p>
    <w:p w:rsidR="00F22867" w:rsidRPr="007B5F66" w:rsidRDefault="00F22867" w:rsidP="00F22867">
      <w:pPr>
        <w:jc w:val="center"/>
        <w:rPr>
          <w:b/>
          <w:smallCaps/>
          <w:szCs w:val="20"/>
          <w:lang w:eastAsia="nl-NL"/>
        </w:rPr>
      </w:pPr>
      <w:r w:rsidRPr="00745DE3">
        <w:rPr>
          <w:b/>
          <w:smallCaps/>
        </w:rPr>
        <w:t>16.30-17.30 hrs</w:t>
      </w:r>
    </w:p>
    <w:p w:rsidR="00F22867" w:rsidRDefault="00F22867" w:rsidP="00F22867">
      <w:pPr>
        <w:jc w:val="center"/>
        <w:rPr>
          <w:b/>
          <w:lang w:val="en-US"/>
        </w:rPr>
      </w:pPr>
    </w:p>
    <w:p w:rsidR="00F22867" w:rsidRDefault="00F22867" w:rsidP="00F22867">
      <w:pPr>
        <w:jc w:val="center"/>
        <w:rPr>
          <w:sz w:val="22"/>
          <w:lang w:val="en-US"/>
        </w:rPr>
      </w:pPr>
      <w:r w:rsidRPr="007B5F66">
        <w:rPr>
          <w:smallCaps/>
          <w:sz w:val="18"/>
          <w:lang w:val="en-US"/>
        </w:rPr>
        <w:t>Venue</w:t>
      </w:r>
      <w:r w:rsidRPr="007B5F66">
        <w:rPr>
          <w:sz w:val="18"/>
          <w:lang w:val="en-US"/>
        </w:rPr>
        <w:t>:</w:t>
      </w:r>
      <w:r w:rsidRPr="00AC2DD5">
        <w:rPr>
          <w:sz w:val="22"/>
          <w:lang w:val="en-US"/>
        </w:rPr>
        <w:t xml:space="preserve"> </w:t>
      </w:r>
    </w:p>
    <w:p w:rsidR="00F22867" w:rsidRPr="00093323" w:rsidRDefault="00F22867" w:rsidP="00F22867">
      <w:pPr>
        <w:jc w:val="center"/>
        <w:rPr>
          <w:smallCaps/>
          <w:sz w:val="22"/>
          <w:lang w:val="en-US"/>
        </w:rPr>
      </w:pPr>
      <w:r w:rsidRPr="00093323">
        <w:rPr>
          <w:smallCaps/>
          <w:sz w:val="22"/>
          <w:lang w:val="en-US"/>
        </w:rPr>
        <w:t xml:space="preserve">University of </w:t>
      </w:r>
      <w:proofErr w:type="spellStart"/>
      <w:r w:rsidRPr="00093323">
        <w:rPr>
          <w:smallCaps/>
          <w:sz w:val="22"/>
          <w:lang w:val="en-US"/>
        </w:rPr>
        <w:t>basel</w:t>
      </w:r>
      <w:proofErr w:type="spellEnd"/>
      <w:r w:rsidRPr="00093323">
        <w:rPr>
          <w:smallCaps/>
          <w:sz w:val="22"/>
          <w:lang w:val="en-US"/>
        </w:rPr>
        <w:t xml:space="preserve">, </w:t>
      </w:r>
      <w:proofErr w:type="spellStart"/>
      <w:r w:rsidRPr="00093323">
        <w:rPr>
          <w:smallCaps/>
          <w:sz w:val="22"/>
          <w:lang w:val="en-US"/>
        </w:rPr>
        <w:t>kollegienhaus</w:t>
      </w:r>
      <w:proofErr w:type="spellEnd"/>
    </w:p>
    <w:p w:rsidR="00F22867" w:rsidRPr="00093323" w:rsidRDefault="00F22867" w:rsidP="00F22867">
      <w:pPr>
        <w:jc w:val="center"/>
        <w:rPr>
          <w:smallCaps/>
          <w:sz w:val="22"/>
          <w:lang w:val="en-US"/>
        </w:rPr>
      </w:pPr>
      <w:proofErr w:type="spellStart"/>
      <w:r w:rsidRPr="00093323">
        <w:rPr>
          <w:smallCaps/>
          <w:sz w:val="22"/>
          <w:lang w:val="en-US"/>
        </w:rPr>
        <w:t>Petersplatz</w:t>
      </w:r>
      <w:proofErr w:type="spellEnd"/>
      <w:r w:rsidRPr="00093323">
        <w:rPr>
          <w:smallCaps/>
          <w:sz w:val="22"/>
          <w:lang w:val="en-US"/>
        </w:rPr>
        <w:t xml:space="preserve"> 1, 4003 </w:t>
      </w:r>
      <w:proofErr w:type="spellStart"/>
      <w:r w:rsidRPr="00093323">
        <w:rPr>
          <w:smallCaps/>
          <w:sz w:val="22"/>
          <w:lang w:val="en-US"/>
        </w:rPr>
        <w:t>basel</w:t>
      </w:r>
      <w:proofErr w:type="spellEnd"/>
    </w:p>
    <w:p w:rsidR="00F22867" w:rsidRPr="00093323" w:rsidRDefault="00F22867" w:rsidP="00F22867">
      <w:pPr>
        <w:jc w:val="center"/>
        <w:rPr>
          <w:smallCaps/>
          <w:sz w:val="22"/>
          <w:lang w:val="en-US"/>
        </w:rPr>
      </w:pPr>
      <w:r w:rsidRPr="00093323">
        <w:rPr>
          <w:smallCaps/>
          <w:sz w:val="18"/>
          <w:lang w:val="en-US"/>
        </w:rPr>
        <w:t xml:space="preserve">Room: aula 033 </w:t>
      </w:r>
    </w:p>
    <w:p w:rsidR="00F22867" w:rsidRPr="00093323" w:rsidRDefault="00F22867" w:rsidP="00F22867">
      <w:pPr>
        <w:jc w:val="center"/>
        <w:rPr>
          <w:b/>
          <w:szCs w:val="20"/>
          <w:lang w:val="en-US" w:eastAsia="nl-NL"/>
        </w:rPr>
      </w:pPr>
    </w:p>
    <w:p w:rsidR="00B62BE2" w:rsidRPr="00093323" w:rsidRDefault="00B62BE2" w:rsidP="00892FC2">
      <w:pPr>
        <w:rPr>
          <w:b/>
          <w:sz w:val="22"/>
          <w:lang w:val="en-US"/>
        </w:rPr>
      </w:pPr>
    </w:p>
    <w:p w:rsidR="00B62BE2" w:rsidRPr="00093323" w:rsidRDefault="00B62BE2" w:rsidP="00F70915">
      <w:pPr>
        <w:rPr>
          <w:b/>
          <w:lang w:val="en-US"/>
        </w:rPr>
      </w:pPr>
      <w:r w:rsidRPr="00093323">
        <w:rPr>
          <w:b/>
          <w:lang w:val="en-US"/>
        </w:rPr>
        <w:t>Attendants (</w:t>
      </w:r>
      <w:r w:rsidR="00CC71C6" w:rsidRPr="00093323">
        <w:rPr>
          <w:b/>
          <w:lang w:val="en-US"/>
        </w:rPr>
        <w:t>45</w:t>
      </w:r>
      <w:r w:rsidRPr="00093323">
        <w:rPr>
          <w:b/>
          <w:lang w:val="en-US"/>
        </w:rPr>
        <w:t>):</w:t>
      </w:r>
    </w:p>
    <w:p w:rsidR="00C6672F" w:rsidRPr="00093323" w:rsidRDefault="00C6672F" w:rsidP="00F70915">
      <w:pPr>
        <w:rPr>
          <w:b/>
          <w:lang w:val="en-US"/>
        </w:rPr>
      </w:pPr>
    </w:p>
    <w:p w:rsidR="00B62BE2" w:rsidRPr="00093323" w:rsidRDefault="003C50D6" w:rsidP="00E52184">
      <w:pPr>
        <w:rPr>
          <w:lang w:val="en-US"/>
        </w:rPr>
      </w:pPr>
      <w:r w:rsidRPr="00093323">
        <w:rPr>
          <w:lang w:val="en-US"/>
        </w:rPr>
        <w:t xml:space="preserve">Rolf </w:t>
      </w:r>
      <w:proofErr w:type="spellStart"/>
      <w:r w:rsidRPr="00093323">
        <w:rPr>
          <w:lang w:val="en-US"/>
        </w:rPr>
        <w:t>Ahlzen</w:t>
      </w:r>
      <w:proofErr w:type="spellEnd"/>
      <w:r w:rsidRPr="00093323">
        <w:rPr>
          <w:lang w:val="en-US"/>
        </w:rPr>
        <w:t xml:space="preserve"> (Sweden), </w:t>
      </w:r>
      <w:r w:rsidR="00CC71C6" w:rsidRPr="00093323">
        <w:rPr>
          <w:lang w:val="en-US"/>
        </w:rPr>
        <w:t xml:space="preserve">Roberto </w:t>
      </w:r>
      <w:proofErr w:type="spellStart"/>
      <w:r w:rsidR="00CC71C6" w:rsidRPr="00093323">
        <w:rPr>
          <w:lang w:val="en-US"/>
        </w:rPr>
        <w:t>Andorno</w:t>
      </w:r>
      <w:proofErr w:type="spellEnd"/>
      <w:r w:rsidR="00CC71C6" w:rsidRPr="00093323">
        <w:rPr>
          <w:lang w:val="en-US"/>
        </w:rPr>
        <w:t xml:space="preserve"> (Switzerland), </w:t>
      </w:r>
      <w:proofErr w:type="spellStart"/>
      <w:r w:rsidR="00326A4C" w:rsidRPr="00093323">
        <w:rPr>
          <w:lang w:val="en-US"/>
        </w:rPr>
        <w:t>Gardar</w:t>
      </w:r>
      <w:proofErr w:type="spellEnd"/>
      <w:r w:rsidR="00326A4C" w:rsidRPr="00093323">
        <w:rPr>
          <w:lang w:val="en-US"/>
        </w:rPr>
        <w:t xml:space="preserve"> </w:t>
      </w:r>
      <w:proofErr w:type="spellStart"/>
      <w:r w:rsidR="00326A4C" w:rsidRPr="00093323">
        <w:rPr>
          <w:lang w:val="en-US"/>
        </w:rPr>
        <w:t>Arnason</w:t>
      </w:r>
      <w:proofErr w:type="spellEnd"/>
      <w:r w:rsidR="00326A4C" w:rsidRPr="00093323">
        <w:rPr>
          <w:lang w:val="en-US"/>
        </w:rPr>
        <w:t xml:space="preserve"> (Germany), </w:t>
      </w:r>
      <w:r w:rsidR="00CC71C6" w:rsidRPr="00093323">
        <w:rPr>
          <w:lang w:val="en-US"/>
        </w:rPr>
        <w:t xml:space="preserve">David </w:t>
      </w:r>
      <w:proofErr w:type="spellStart"/>
      <w:r w:rsidR="00CC71C6" w:rsidRPr="00093323">
        <w:rPr>
          <w:lang w:val="en-US"/>
        </w:rPr>
        <w:t>Badcott</w:t>
      </w:r>
      <w:proofErr w:type="spellEnd"/>
      <w:r w:rsidR="00CC71C6" w:rsidRPr="00093323">
        <w:rPr>
          <w:lang w:val="en-US"/>
        </w:rPr>
        <w:t xml:space="preserve"> (UK), </w:t>
      </w:r>
      <w:r w:rsidR="00326A4C" w:rsidRPr="00093323">
        <w:rPr>
          <w:lang w:val="en-US"/>
        </w:rPr>
        <w:t xml:space="preserve">Attila </w:t>
      </w:r>
      <w:proofErr w:type="spellStart"/>
      <w:r w:rsidR="00326A4C" w:rsidRPr="00093323">
        <w:rPr>
          <w:lang w:val="en-US"/>
        </w:rPr>
        <w:t>Banfalvi</w:t>
      </w:r>
      <w:proofErr w:type="spellEnd"/>
      <w:r w:rsidR="00326A4C" w:rsidRPr="00093323">
        <w:rPr>
          <w:lang w:val="en-US"/>
        </w:rPr>
        <w:t xml:space="preserve"> (Hungary), </w:t>
      </w:r>
      <w:r w:rsidR="00745DE3" w:rsidRPr="00093323">
        <w:rPr>
          <w:lang w:val="en-US"/>
        </w:rPr>
        <w:t xml:space="preserve">Michael </w:t>
      </w:r>
      <w:proofErr w:type="spellStart"/>
      <w:r w:rsidR="00745DE3" w:rsidRPr="00093323">
        <w:rPr>
          <w:lang w:val="en-US"/>
        </w:rPr>
        <w:t>Barilan</w:t>
      </w:r>
      <w:proofErr w:type="spellEnd"/>
      <w:r w:rsidR="00745DE3" w:rsidRPr="00093323">
        <w:rPr>
          <w:lang w:val="en-US"/>
        </w:rPr>
        <w:t xml:space="preserve"> (Israel), </w:t>
      </w:r>
      <w:r w:rsidR="00326A4C" w:rsidRPr="00093323">
        <w:rPr>
          <w:lang w:val="en-US"/>
        </w:rPr>
        <w:t xml:space="preserve">Jeffrey Barker (USA), </w:t>
      </w:r>
      <w:r w:rsidR="00CC71C6" w:rsidRPr="00093323">
        <w:rPr>
          <w:lang w:val="en-US"/>
        </w:rPr>
        <w:t xml:space="preserve">Alessandra </w:t>
      </w:r>
      <w:proofErr w:type="spellStart"/>
      <w:r w:rsidR="00CC71C6" w:rsidRPr="00093323">
        <w:rPr>
          <w:lang w:val="en-US"/>
        </w:rPr>
        <w:t>Bernardi</w:t>
      </w:r>
      <w:proofErr w:type="spellEnd"/>
      <w:r w:rsidR="00CC71C6" w:rsidRPr="00093323">
        <w:rPr>
          <w:lang w:val="en-US"/>
        </w:rPr>
        <w:t xml:space="preserve"> (Italy), </w:t>
      </w:r>
      <w:proofErr w:type="spellStart"/>
      <w:r w:rsidR="00CC71C6" w:rsidRPr="00093323">
        <w:rPr>
          <w:lang w:val="en-US"/>
        </w:rPr>
        <w:t>Lazare</w:t>
      </w:r>
      <w:proofErr w:type="spellEnd"/>
      <w:r w:rsidR="00CC71C6" w:rsidRPr="00093323">
        <w:rPr>
          <w:lang w:val="en-US"/>
        </w:rPr>
        <w:t xml:space="preserve"> </w:t>
      </w:r>
      <w:proofErr w:type="spellStart"/>
      <w:r w:rsidR="00CC71C6" w:rsidRPr="00093323">
        <w:rPr>
          <w:lang w:val="en-US"/>
        </w:rPr>
        <w:t>Benaroyo</w:t>
      </w:r>
      <w:proofErr w:type="spellEnd"/>
      <w:r w:rsidR="00CC71C6" w:rsidRPr="00093323">
        <w:rPr>
          <w:lang w:val="en-US"/>
        </w:rPr>
        <w:t xml:space="preserve"> (Switzerland), </w:t>
      </w:r>
      <w:r w:rsidR="00B62BE2" w:rsidRPr="00093323">
        <w:rPr>
          <w:lang w:val="en-US"/>
        </w:rPr>
        <w:t xml:space="preserve">Ana </w:t>
      </w:r>
      <w:proofErr w:type="spellStart"/>
      <w:r w:rsidR="00B62BE2" w:rsidRPr="00093323">
        <w:rPr>
          <w:lang w:val="en-US"/>
        </w:rPr>
        <w:t>Borovechi</w:t>
      </w:r>
      <w:proofErr w:type="spellEnd"/>
      <w:r w:rsidR="00B62BE2" w:rsidRPr="00093323">
        <w:rPr>
          <w:lang w:val="en-US"/>
        </w:rPr>
        <w:t xml:space="preserve"> (Croatia), </w:t>
      </w:r>
      <w:r w:rsidRPr="00093323">
        <w:rPr>
          <w:lang w:val="en-US"/>
        </w:rPr>
        <w:t xml:space="preserve">Tom </w:t>
      </w:r>
      <w:proofErr w:type="spellStart"/>
      <w:r w:rsidRPr="00093323">
        <w:rPr>
          <w:lang w:val="en-US"/>
        </w:rPr>
        <w:t>Buller</w:t>
      </w:r>
      <w:proofErr w:type="spellEnd"/>
      <w:r w:rsidRPr="00093323">
        <w:rPr>
          <w:lang w:val="en-US"/>
        </w:rPr>
        <w:t xml:space="preserve"> (</w:t>
      </w:r>
      <w:r w:rsidR="00745DE3" w:rsidRPr="00093323">
        <w:rPr>
          <w:lang w:val="en-US"/>
        </w:rPr>
        <w:t xml:space="preserve">USA), </w:t>
      </w:r>
      <w:r w:rsidRPr="00093323">
        <w:rPr>
          <w:lang w:val="en-US"/>
        </w:rPr>
        <w:t xml:space="preserve">Sylvester C </w:t>
      </w:r>
      <w:proofErr w:type="spellStart"/>
      <w:r w:rsidRPr="00093323">
        <w:rPr>
          <w:lang w:val="en-US"/>
        </w:rPr>
        <w:t>Chima</w:t>
      </w:r>
      <w:proofErr w:type="spellEnd"/>
      <w:r w:rsidRPr="00093323">
        <w:rPr>
          <w:lang w:val="en-US"/>
        </w:rPr>
        <w:t xml:space="preserve"> (South </w:t>
      </w:r>
      <w:proofErr w:type="spellStart"/>
      <w:r w:rsidRPr="00093323">
        <w:rPr>
          <w:lang w:val="en-US"/>
        </w:rPr>
        <w:t>Afrika</w:t>
      </w:r>
      <w:proofErr w:type="spellEnd"/>
      <w:r w:rsidRPr="00093323">
        <w:rPr>
          <w:lang w:val="en-US"/>
        </w:rPr>
        <w:t xml:space="preserve">), </w:t>
      </w:r>
      <w:proofErr w:type="spellStart"/>
      <w:r w:rsidR="00656340" w:rsidRPr="00093323">
        <w:rPr>
          <w:lang w:val="en-US"/>
        </w:rPr>
        <w:t>Vilius</w:t>
      </w:r>
      <w:proofErr w:type="spellEnd"/>
      <w:r w:rsidR="00656340" w:rsidRPr="00093323">
        <w:rPr>
          <w:lang w:val="en-US"/>
        </w:rPr>
        <w:t xml:space="preserve"> </w:t>
      </w:r>
      <w:proofErr w:type="spellStart"/>
      <w:r w:rsidR="00656340" w:rsidRPr="00093323">
        <w:rPr>
          <w:lang w:val="en-US"/>
        </w:rPr>
        <w:t>Dranseika</w:t>
      </w:r>
      <w:proofErr w:type="spellEnd"/>
      <w:r w:rsidR="00656340" w:rsidRPr="00093323">
        <w:rPr>
          <w:lang w:val="en-US"/>
        </w:rPr>
        <w:t xml:space="preserve"> (Lithuania), </w:t>
      </w:r>
      <w:r w:rsidR="00B62BE2" w:rsidRPr="00093323">
        <w:rPr>
          <w:lang w:val="en-US"/>
        </w:rPr>
        <w:t>Bert Gordijn (Ireland),</w:t>
      </w:r>
      <w:r w:rsidR="00326A4C" w:rsidRPr="00093323">
        <w:rPr>
          <w:lang w:val="en-US"/>
        </w:rPr>
        <w:t xml:space="preserve"> Darryl </w:t>
      </w:r>
      <w:proofErr w:type="spellStart"/>
      <w:r w:rsidR="00326A4C" w:rsidRPr="00093323">
        <w:rPr>
          <w:lang w:val="en-US"/>
        </w:rPr>
        <w:t>Gunson</w:t>
      </w:r>
      <w:proofErr w:type="spellEnd"/>
      <w:r w:rsidR="00326A4C" w:rsidRPr="00093323">
        <w:rPr>
          <w:lang w:val="en-US"/>
        </w:rPr>
        <w:t xml:space="preserve"> (UK), </w:t>
      </w:r>
      <w:proofErr w:type="spellStart"/>
      <w:r w:rsidR="00CC71C6" w:rsidRPr="00093323">
        <w:rPr>
          <w:lang w:val="en-US"/>
        </w:rPr>
        <w:t>Soeren</w:t>
      </w:r>
      <w:proofErr w:type="spellEnd"/>
      <w:r w:rsidR="00CC71C6" w:rsidRPr="00093323">
        <w:rPr>
          <w:lang w:val="en-US"/>
        </w:rPr>
        <w:t xml:space="preserve"> Holm (UK), </w:t>
      </w:r>
      <w:r w:rsidR="00B62BE2" w:rsidRPr="00093323">
        <w:rPr>
          <w:lang w:val="en-US"/>
        </w:rPr>
        <w:t xml:space="preserve">Peter </w:t>
      </w:r>
      <w:proofErr w:type="spellStart"/>
      <w:r w:rsidR="00B62BE2" w:rsidRPr="00093323">
        <w:rPr>
          <w:lang w:val="en-US"/>
        </w:rPr>
        <w:t>Kakuk</w:t>
      </w:r>
      <w:proofErr w:type="spellEnd"/>
      <w:r w:rsidR="00B62BE2" w:rsidRPr="00093323">
        <w:rPr>
          <w:lang w:val="en-US"/>
        </w:rPr>
        <w:t xml:space="preserve"> (Hungary), </w:t>
      </w:r>
      <w:proofErr w:type="spellStart"/>
      <w:r w:rsidR="00B62BE2" w:rsidRPr="00093323">
        <w:rPr>
          <w:lang w:val="en-US"/>
        </w:rPr>
        <w:t>Gerrit</w:t>
      </w:r>
      <w:proofErr w:type="spellEnd"/>
      <w:r w:rsidR="00B62BE2" w:rsidRPr="00093323">
        <w:rPr>
          <w:lang w:val="en-US"/>
        </w:rPr>
        <w:t xml:space="preserve"> </w:t>
      </w:r>
      <w:proofErr w:type="spellStart"/>
      <w:r w:rsidR="00B62BE2" w:rsidRPr="00093323">
        <w:rPr>
          <w:lang w:val="en-US"/>
        </w:rPr>
        <w:t>Kimsma</w:t>
      </w:r>
      <w:proofErr w:type="spellEnd"/>
      <w:r w:rsidR="00B62BE2" w:rsidRPr="00093323">
        <w:rPr>
          <w:lang w:val="en-US"/>
        </w:rPr>
        <w:t xml:space="preserve"> (Netherlands), </w:t>
      </w:r>
      <w:proofErr w:type="spellStart"/>
      <w:r w:rsidR="00326A4C" w:rsidRPr="00093323">
        <w:rPr>
          <w:lang w:val="en-US"/>
        </w:rPr>
        <w:t>Eszter</w:t>
      </w:r>
      <w:proofErr w:type="spellEnd"/>
      <w:r w:rsidR="00326A4C" w:rsidRPr="00093323">
        <w:rPr>
          <w:lang w:val="en-US"/>
        </w:rPr>
        <w:t xml:space="preserve"> </w:t>
      </w:r>
      <w:proofErr w:type="spellStart"/>
      <w:r w:rsidR="00326A4C" w:rsidRPr="00093323">
        <w:rPr>
          <w:lang w:val="en-US"/>
        </w:rPr>
        <w:t>Kollar</w:t>
      </w:r>
      <w:proofErr w:type="spellEnd"/>
      <w:r w:rsidR="00326A4C" w:rsidRPr="00093323">
        <w:rPr>
          <w:lang w:val="en-US"/>
        </w:rPr>
        <w:t xml:space="preserve"> (Germany), </w:t>
      </w:r>
      <w:r w:rsidR="008D6C40" w:rsidRPr="00093323">
        <w:rPr>
          <w:lang w:val="en-US"/>
        </w:rPr>
        <w:t xml:space="preserve">Sofia </w:t>
      </w:r>
      <w:proofErr w:type="spellStart"/>
      <w:r w:rsidR="008D6C40" w:rsidRPr="00093323">
        <w:rPr>
          <w:lang w:val="en-US"/>
        </w:rPr>
        <w:t>Morberg</w:t>
      </w:r>
      <w:proofErr w:type="spellEnd"/>
      <w:r w:rsidR="008D6C40" w:rsidRPr="00093323">
        <w:rPr>
          <w:lang w:val="en-US"/>
        </w:rPr>
        <w:t xml:space="preserve"> </w:t>
      </w:r>
      <w:proofErr w:type="spellStart"/>
      <w:r w:rsidR="008D6C40" w:rsidRPr="00093323">
        <w:rPr>
          <w:lang w:val="en-US"/>
        </w:rPr>
        <w:t>Jämterud</w:t>
      </w:r>
      <w:proofErr w:type="spellEnd"/>
      <w:r w:rsidR="008D6C40" w:rsidRPr="00093323">
        <w:rPr>
          <w:lang w:val="en-US"/>
        </w:rPr>
        <w:t xml:space="preserve"> (Sweden), </w:t>
      </w:r>
      <w:r w:rsidR="00326A4C" w:rsidRPr="00093323">
        <w:rPr>
          <w:lang w:val="en-US"/>
        </w:rPr>
        <w:t xml:space="preserve">Sabine Mueller (Germany), </w:t>
      </w:r>
      <w:proofErr w:type="spellStart"/>
      <w:r w:rsidR="00656340" w:rsidRPr="00093323">
        <w:rPr>
          <w:lang w:val="en-US"/>
        </w:rPr>
        <w:t>Ivars</w:t>
      </w:r>
      <w:proofErr w:type="spellEnd"/>
      <w:r w:rsidR="00656340" w:rsidRPr="00093323">
        <w:rPr>
          <w:lang w:val="en-US"/>
        </w:rPr>
        <w:t xml:space="preserve"> </w:t>
      </w:r>
      <w:proofErr w:type="spellStart"/>
      <w:r w:rsidR="00656340" w:rsidRPr="00093323">
        <w:rPr>
          <w:lang w:val="en-US"/>
        </w:rPr>
        <w:t>Neiders</w:t>
      </w:r>
      <w:proofErr w:type="spellEnd"/>
      <w:r w:rsidR="00656340" w:rsidRPr="00093323">
        <w:rPr>
          <w:lang w:val="en-US"/>
        </w:rPr>
        <w:t xml:space="preserve"> (Latvia), </w:t>
      </w:r>
      <w:r w:rsidRPr="00093323">
        <w:rPr>
          <w:lang w:val="en-US"/>
        </w:rPr>
        <w:t xml:space="preserve">Gerald </w:t>
      </w:r>
      <w:proofErr w:type="spellStart"/>
      <w:r w:rsidRPr="00093323">
        <w:rPr>
          <w:lang w:val="en-US"/>
        </w:rPr>
        <w:t>Neitzke</w:t>
      </w:r>
      <w:proofErr w:type="spellEnd"/>
      <w:r w:rsidRPr="00093323">
        <w:rPr>
          <w:lang w:val="en-US"/>
        </w:rPr>
        <w:t xml:space="preserve"> (Germany), </w:t>
      </w:r>
      <w:proofErr w:type="spellStart"/>
      <w:r w:rsidR="00B62BE2" w:rsidRPr="00093323">
        <w:rPr>
          <w:lang w:val="en-US"/>
        </w:rPr>
        <w:t>Kyoichi</w:t>
      </w:r>
      <w:proofErr w:type="spellEnd"/>
      <w:r w:rsidR="00B62BE2" w:rsidRPr="00093323">
        <w:rPr>
          <w:lang w:val="en-US"/>
        </w:rPr>
        <w:t xml:space="preserve"> Ozaki (Japan), </w:t>
      </w:r>
      <w:proofErr w:type="spellStart"/>
      <w:r w:rsidR="00B62BE2" w:rsidRPr="00093323">
        <w:rPr>
          <w:lang w:val="en-US"/>
        </w:rPr>
        <w:t>Georgios</w:t>
      </w:r>
      <w:proofErr w:type="spellEnd"/>
      <w:r w:rsidR="00B62BE2" w:rsidRPr="00093323">
        <w:rPr>
          <w:lang w:val="en-US"/>
        </w:rPr>
        <w:t xml:space="preserve"> </w:t>
      </w:r>
      <w:proofErr w:type="spellStart"/>
      <w:r w:rsidR="00B62BE2" w:rsidRPr="00093323">
        <w:rPr>
          <w:lang w:val="en-US"/>
        </w:rPr>
        <w:t>Papagouno</w:t>
      </w:r>
      <w:r w:rsidR="00656340" w:rsidRPr="00093323">
        <w:rPr>
          <w:lang w:val="en-US"/>
        </w:rPr>
        <w:t>s</w:t>
      </w:r>
      <w:proofErr w:type="spellEnd"/>
      <w:r w:rsidR="00B62BE2" w:rsidRPr="00093323">
        <w:rPr>
          <w:lang w:val="en-US"/>
        </w:rPr>
        <w:t xml:space="preserve"> (Gre</w:t>
      </w:r>
      <w:r w:rsidR="00CC71C6" w:rsidRPr="00093323">
        <w:rPr>
          <w:lang w:val="en-US"/>
        </w:rPr>
        <w:t>e</w:t>
      </w:r>
      <w:r w:rsidR="00B62BE2" w:rsidRPr="00093323">
        <w:rPr>
          <w:lang w:val="en-US"/>
        </w:rPr>
        <w:t xml:space="preserve">ce), </w:t>
      </w:r>
      <w:proofErr w:type="spellStart"/>
      <w:r w:rsidR="00B62BE2" w:rsidRPr="00093323">
        <w:rPr>
          <w:lang w:val="en-US"/>
        </w:rPr>
        <w:t>Renzo</w:t>
      </w:r>
      <w:proofErr w:type="spellEnd"/>
      <w:r w:rsidR="00B62BE2" w:rsidRPr="00093323">
        <w:rPr>
          <w:lang w:val="en-US"/>
        </w:rPr>
        <w:t xml:space="preserve"> </w:t>
      </w:r>
      <w:proofErr w:type="spellStart"/>
      <w:r w:rsidR="00B62BE2" w:rsidRPr="00093323">
        <w:rPr>
          <w:lang w:val="en-US"/>
        </w:rPr>
        <w:t>Pegoraro</w:t>
      </w:r>
      <w:proofErr w:type="spellEnd"/>
      <w:r w:rsidR="00B62BE2" w:rsidRPr="00093323">
        <w:rPr>
          <w:lang w:val="en-US"/>
        </w:rPr>
        <w:t xml:space="preserve"> (Italy), </w:t>
      </w:r>
      <w:r w:rsidR="00656340" w:rsidRPr="00093323">
        <w:rPr>
          <w:lang w:val="en-US"/>
        </w:rPr>
        <w:t xml:space="preserve">Jan </w:t>
      </w:r>
      <w:proofErr w:type="spellStart"/>
      <w:r w:rsidR="00656340" w:rsidRPr="00093323">
        <w:rPr>
          <w:lang w:val="en-US"/>
        </w:rPr>
        <w:t>Piasecki</w:t>
      </w:r>
      <w:proofErr w:type="spellEnd"/>
      <w:r w:rsidR="00656340" w:rsidRPr="00093323">
        <w:rPr>
          <w:lang w:val="en-US"/>
        </w:rPr>
        <w:t xml:space="preserve"> (Poland), </w:t>
      </w:r>
      <w:proofErr w:type="spellStart"/>
      <w:r w:rsidR="00CC71C6" w:rsidRPr="00093323">
        <w:rPr>
          <w:lang w:val="en-US"/>
        </w:rPr>
        <w:t>Veerle</w:t>
      </w:r>
      <w:proofErr w:type="spellEnd"/>
      <w:r w:rsidR="00CC71C6" w:rsidRPr="00093323">
        <w:rPr>
          <w:lang w:val="en-US"/>
        </w:rPr>
        <w:t xml:space="preserve"> </w:t>
      </w:r>
      <w:proofErr w:type="spellStart"/>
      <w:r w:rsidR="00CC71C6" w:rsidRPr="00093323">
        <w:rPr>
          <w:lang w:val="en-US"/>
        </w:rPr>
        <w:t>Provoost</w:t>
      </w:r>
      <w:proofErr w:type="spellEnd"/>
      <w:r w:rsidR="00CC71C6" w:rsidRPr="00093323">
        <w:rPr>
          <w:lang w:val="en-US"/>
        </w:rPr>
        <w:t xml:space="preserve"> (Netherlands),</w:t>
      </w:r>
      <w:r w:rsidR="00A73E80" w:rsidRPr="00093323">
        <w:rPr>
          <w:lang w:val="en-US"/>
        </w:rPr>
        <w:t xml:space="preserve"> </w:t>
      </w:r>
      <w:proofErr w:type="spellStart"/>
      <w:r w:rsidR="00CC71C6" w:rsidRPr="00093323">
        <w:rPr>
          <w:lang w:val="en-US"/>
        </w:rPr>
        <w:t>Christoph</w:t>
      </w:r>
      <w:proofErr w:type="spellEnd"/>
      <w:r w:rsidR="00CC71C6" w:rsidRPr="00093323">
        <w:rPr>
          <w:lang w:val="en-US"/>
        </w:rPr>
        <w:t xml:space="preserve"> </w:t>
      </w:r>
      <w:proofErr w:type="spellStart"/>
      <w:r w:rsidR="00CC71C6" w:rsidRPr="00093323">
        <w:rPr>
          <w:lang w:val="en-US"/>
        </w:rPr>
        <w:t>Rehmann</w:t>
      </w:r>
      <w:proofErr w:type="spellEnd"/>
      <w:r w:rsidR="00CC71C6" w:rsidRPr="00093323">
        <w:rPr>
          <w:lang w:val="en-US"/>
        </w:rPr>
        <w:t>-Sutter (Switzerland)</w:t>
      </w:r>
      <w:r w:rsidR="00656340" w:rsidRPr="00093323">
        <w:rPr>
          <w:lang w:val="en-US"/>
        </w:rPr>
        <w:t>,</w:t>
      </w:r>
      <w:r w:rsidR="00CC71C6" w:rsidRPr="00093323">
        <w:rPr>
          <w:lang w:val="en-US"/>
        </w:rPr>
        <w:t xml:space="preserve"> </w:t>
      </w:r>
      <w:r w:rsidR="00B62BE2" w:rsidRPr="00093323">
        <w:rPr>
          <w:lang w:val="en-US"/>
        </w:rPr>
        <w:t xml:space="preserve">Joanna </w:t>
      </w:r>
      <w:proofErr w:type="spellStart"/>
      <w:r w:rsidR="00B62BE2" w:rsidRPr="00093323">
        <w:rPr>
          <w:lang w:val="en-US"/>
        </w:rPr>
        <w:t>Rozynska</w:t>
      </w:r>
      <w:proofErr w:type="spellEnd"/>
      <w:r w:rsidR="00B62BE2" w:rsidRPr="00093323">
        <w:rPr>
          <w:lang w:val="en-US"/>
        </w:rPr>
        <w:t xml:space="preserve"> (Poland), Stephan </w:t>
      </w:r>
      <w:proofErr w:type="spellStart"/>
      <w:r w:rsidR="00B62BE2" w:rsidRPr="00093323">
        <w:rPr>
          <w:lang w:val="en-US"/>
        </w:rPr>
        <w:t>Sahm</w:t>
      </w:r>
      <w:proofErr w:type="spellEnd"/>
      <w:r w:rsidR="00B62BE2" w:rsidRPr="00093323">
        <w:rPr>
          <w:lang w:val="en-US"/>
        </w:rPr>
        <w:t xml:space="preserve"> (Germany), </w:t>
      </w:r>
      <w:r w:rsidR="00326A4C" w:rsidRPr="00093323">
        <w:rPr>
          <w:lang w:val="en-US"/>
        </w:rPr>
        <w:t xml:space="preserve">Christina </w:t>
      </w:r>
      <w:proofErr w:type="spellStart"/>
      <w:r w:rsidR="00326A4C" w:rsidRPr="00093323">
        <w:rPr>
          <w:lang w:val="en-US"/>
        </w:rPr>
        <w:t>Schuees</w:t>
      </w:r>
      <w:proofErr w:type="spellEnd"/>
      <w:r w:rsidR="00326A4C" w:rsidRPr="00093323">
        <w:rPr>
          <w:lang w:val="en-US"/>
        </w:rPr>
        <w:t xml:space="preserve">, (Germany), Wayne X </w:t>
      </w:r>
      <w:proofErr w:type="spellStart"/>
      <w:r w:rsidR="00326A4C" w:rsidRPr="00093323">
        <w:rPr>
          <w:lang w:val="en-US"/>
        </w:rPr>
        <w:t>Shandera</w:t>
      </w:r>
      <w:proofErr w:type="spellEnd"/>
      <w:r w:rsidR="00326A4C" w:rsidRPr="00093323">
        <w:rPr>
          <w:lang w:val="en-US"/>
        </w:rPr>
        <w:t xml:space="preserve"> (USA), </w:t>
      </w:r>
      <w:proofErr w:type="spellStart"/>
      <w:r w:rsidR="00B62BE2" w:rsidRPr="00093323">
        <w:rPr>
          <w:lang w:val="en-US"/>
        </w:rPr>
        <w:t>Frida</w:t>
      </w:r>
      <w:proofErr w:type="spellEnd"/>
      <w:r w:rsidR="00B62BE2" w:rsidRPr="00093323">
        <w:rPr>
          <w:lang w:val="en-US"/>
        </w:rPr>
        <w:t xml:space="preserve"> </w:t>
      </w:r>
      <w:proofErr w:type="spellStart"/>
      <w:r w:rsidR="00B62BE2" w:rsidRPr="00093323">
        <w:rPr>
          <w:lang w:val="en-US"/>
        </w:rPr>
        <w:t>Simonstein</w:t>
      </w:r>
      <w:proofErr w:type="spellEnd"/>
      <w:r w:rsidR="00B62BE2" w:rsidRPr="00093323">
        <w:rPr>
          <w:lang w:val="en-US"/>
        </w:rPr>
        <w:t xml:space="preserve"> (Israel), </w:t>
      </w:r>
      <w:r w:rsidRPr="00093323">
        <w:rPr>
          <w:lang w:val="en-US"/>
        </w:rPr>
        <w:t xml:space="preserve">Juan Carlos </w:t>
      </w:r>
      <w:proofErr w:type="spellStart"/>
      <w:r w:rsidRPr="00093323">
        <w:rPr>
          <w:lang w:val="en-US"/>
        </w:rPr>
        <w:t>Siurana</w:t>
      </w:r>
      <w:proofErr w:type="spellEnd"/>
      <w:r w:rsidRPr="00093323">
        <w:rPr>
          <w:lang w:val="en-US"/>
        </w:rPr>
        <w:t xml:space="preserve"> (Spain), Hans Magnus </w:t>
      </w:r>
      <w:proofErr w:type="spellStart"/>
      <w:r w:rsidRPr="00093323">
        <w:rPr>
          <w:lang w:val="en-US"/>
        </w:rPr>
        <w:t>Solli</w:t>
      </w:r>
      <w:proofErr w:type="spellEnd"/>
      <w:r w:rsidRPr="00093323">
        <w:rPr>
          <w:lang w:val="en-US"/>
        </w:rPr>
        <w:t xml:space="preserve"> (Norway), William </w:t>
      </w:r>
      <w:proofErr w:type="spellStart"/>
      <w:r w:rsidRPr="00093323">
        <w:rPr>
          <w:lang w:val="en-US"/>
        </w:rPr>
        <w:t>Stempsey</w:t>
      </w:r>
      <w:proofErr w:type="spellEnd"/>
      <w:r w:rsidRPr="00093323">
        <w:rPr>
          <w:lang w:val="en-US"/>
        </w:rPr>
        <w:t xml:space="preserve"> (USA), </w:t>
      </w:r>
      <w:proofErr w:type="spellStart"/>
      <w:r w:rsidR="00B62BE2" w:rsidRPr="00093323">
        <w:rPr>
          <w:lang w:val="en-US"/>
        </w:rPr>
        <w:t>Tuija</w:t>
      </w:r>
      <w:proofErr w:type="spellEnd"/>
      <w:r w:rsidR="00B62BE2" w:rsidRPr="00093323">
        <w:rPr>
          <w:lang w:val="en-US"/>
        </w:rPr>
        <w:t xml:space="preserve"> </w:t>
      </w:r>
      <w:proofErr w:type="spellStart"/>
      <w:r w:rsidR="00B62BE2" w:rsidRPr="00093323">
        <w:rPr>
          <w:lang w:val="en-US"/>
        </w:rPr>
        <w:t>Takala</w:t>
      </w:r>
      <w:proofErr w:type="spellEnd"/>
      <w:r w:rsidR="00B62BE2" w:rsidRPr="00093323">
        <w:rPr>
          <w:lang w:val="en-US"/>
        </w:rPr>
        <w:t xml:space="preserve"> (Finland), </w:t>
      </w:r>
      <w:proofErr w:type="spellStart"/>
      <w:r w:rsidR="00656340" w:rsidRPr="00093323">
        <w:rPr>
          <w:lang w:val="en-US"/>
        </w:rPr>
        <w:t>Fabrizio</w:t>
      </w:r>
      <w:proofErr w:type="spellEnd"/>
      <w:r w:rsidR="00656340" w:rsidRPr="00093323">
        <w:rPr>
          <w:lang w:val="en-US"/>
        </w:rPr>
        <w:t xml:space="preserve"> </w:t>
      </w:r>
      <w:proofErr w:type="spellStart"/>
      <w:r w:rsidR="00656340" w:rsidRPr="00093323">
        <w:rPr>
          <w:lang w:val="en-US"/>
        </w:rPr>
        <w:t>Turoldo</w:t>
      </w:r>
      <w:proofErr w:type="spellEnd"/>
      <w:r w:rsidR="00656340" w:rsidRPr="00093323">
        <w:rPr>
          <w:lang w:val="en-US"/>
        </w:rPr>
        <w:t xml:space="preserve"> (Italy), </w:t>
      </w:r>
      <w:r w:rsidR="00CC71C6" w:rsidRPr="00093323">
        <w:rPr>
          <w:lang w:val="en-US"/>
        </w:rPr>
        <w:t xml:space="preserve">Stephen </w:t>
      </w:r>
      <w:proofErr w:type="spellStart"/>
      <w:r w:rsidR="00CC71C6" w:rsidRPr="00093323">
        <w:rPr>
          <w:lang w:val="en-US"/>
        </w:rPr>
        <w:t>Tyreman</w:t>
      </w:r>
      <w:proofErr w:type="spellEnd"/>
      <w:r w:rsidR="00CC71C6" w:rsidRPr="00093323">
        <w:rPr>
          <w:lang w:val="en-US"/>
        </w:rPr>
        <w:t xml:space="preserve"> (UK), Bert </w:t>
      </w:r>
      <w:proofErr w:type="spellStart"/>
      <w:r w:rsidR="00CC71C6" w:rsidRPr="00093323">
        <w:rPr>
          <w:lang w:val="en-US"/>
        </w:rPr>
        <w:t>Vanderhaegen</w:t>
      </w:r>
      <w:proofErr w:type="spellEnd"/>
      <w:r w:rsidR="00CC71C6" w:rsidRPr="00093323">
        <w:rPr>
          <w:lang w:val="en-US"/>
        </w:rPr>
        <w:t xml:space="preserve"> (Belgium),</w:t>
      </w:r>
      <w:r w:rsidR="00656340" w:rsidRPr="00093323">
        <w:rPr>
          <w:lang w:val="en-US"/>
        </w:rPr>
        <w:t xml:space="preserve"> </w:t>
      </w:r>
      <w:proofErr w:type="spellStart"/>
      <w:r w:rsidR="00656340" w:rsidRPr="00093323">
        <w:rPr>
          <w:lang w:val="en-US"/>
        </w:rPr>
        <w:t>Marcin</w:t>
      </w:r>
      <w:proofErr w:type="spellEnd"/>
      <w:r w:rsidR="00656340" w:rsidRPr="00093323">
        <w:rPr>
          <w:lang w:val="en-US"/>
        </w:rPr>
        <w:t xml:space="preserve"> </w:t>
      </w:r>
      <w:proofErr w:type="spellStart"/>
      <w:r w:rsidR="00656340" w:rsidRPr="00093323">
        <w:rPr>
          <w:lang w:val="en-US"/>
        </w:rPr>
        <w:t>Waligora</w:t>
      </w:r>
      <w:proofErr w:type="spellEnd"/>
      <w:r w:rsidR="00656340" w:rsidRPr="00093323">
        <w:rPr>
          <w:lang w:val="en-US"/>
        </w:rPr>
        <w:t xml:space="preserve"> (Poland),</w:t>
      </w:r>
      <w:r w:rsidR="00CC71C6" w:rsidRPr="00093323">
        <w:rPr>
          <w:lang w:val="en-US"/>
        </w:rPr>
        <w:t xml:space="preserve"> </w:t>
      </w:r>
      <w:proofErr w:type="spellStart"/>
      <w:r w:rsidR="00CC71C6" w:rsidRPr="00093323">
        <w:rPr>
          <w:lang w:val="en-US"/>
        </w:rPr>
        <w:t>Yelim</w:t>
      </w:r>
      <w:proofErr w:type="spellEnd"/>
      <w:r w:rsidR="00CC71C6" w:rsidRPr="00093323">
        <w:rPr>
          <w:lang w:val="en-US"/>
        </w:rPr>
        <w:t xml:space="preserve"> </w:t>
      </w:r>
      <w:proofErr w:type="spellStart"/>
      <w:r w:rsidR="00CC71C6" w:rsidRPr="00093323">
        <w:rPr>
          <w:lang w:val="en-US"/>
        </w:rPr>
        <w:t>Isil</w:t>
      </w:r>
      <w:proofErr w:type="spellEnd"/>
      <w:r w:rsidR="00CC71C6" w:rsidRPr="00093323">
        <w:rPr>
          <w:lang w:val="en-US"/>
        </w:rPr>
        <w:t xml:space="preserve"> </w:t>
      </w:r>
      <w:proofErr w:type="spellStart"/>
      <w:r w:rsidR="00CC71C6" w:rsidRPr="00093323">
        <w:rPr>
          <w:lang w:val="en-US"/>
        </w:rPr>
        <w:t>Ulman</w:t>
      </w:r>
      <w:proofErr w:type="spellEnd"/>
      <w:r w:rsidR="00CC71C6" w:rsidRPr="00093323">
        <w:rPr>
          <w:lang w:val="en-US"/>
        </w:rPr>
        <w:t xml:space="preserve"> (Turkey)</w:t>
      </w:r>
      <w:r w:rsidR="00656340" w:rsidRPr="00093323">
        <w:rPr>
          <w:lang w:val="en-US"/>
        </w:rPr>
        <w:t xml:space="preserve">, </w:t>
      </w:r>
      <w:proofErr w:type="spellStart"/>
      <w:r w:rsidR="00656340" w:rsidRPr="00093323">
        <w:rPr>
          <w:lang w:val="en-US"/>
        </w:rPr>
        <w:t>Zbigniew</w:t>
      </w:r>
      <w:proofErr w:type="spellEnd"/>
      <w:r w:rsidR="00656340" w:rsidRPr="00093323">
        <w:rPr>
          <w:lang w:val="en-US"/>
        </w:rPr>
        <w:t xml:space="preserve"> </w:t>
      </w:r>
      <w:proofErr w:type="spellStart"/>
      <w:r w:rsidR="00656340" w:rsidRPr="00093323">
        <w:rPr>
          <w:lang w:val="en-US"/>
        </w:rPr>
        <w:t>Zalevski</w:t>
      </w:r>
      <w:proofErr w:type="spellEnd"/>
      <w:r w:rsidR="00656340" w:rsidRPr="00093323">
        <w:rPr>
          <w:lang w:val="en-US"/>
        </w:rPr>
        <w:t xml:space="preserve"> (Poland)</w:t>
      </w:r>
    </w:p>
    <w:p w:rsidR="00B62BE2" w:rsidRPr="00093323" w:rsidRDefault="00B62BE2" w:rsidP="00E52184">
      <w:pPr>
        <w:rPr>
          <w:lang w:val="en-US"/>
        </w:rPr>
      </w:pPr>
    </w:p>
    <w:p w:rsidR="0080309C" w:rsidRPr="00093323" w:rsidRDefault="0080309C" w:rsidP="00E52184">
      <w:pPr>
        <w:rPr>
          <w:lang w:val="en-US"/>
        </w:rPr>
      </w:pPr>
    </w:p>
    <w:p w:rsidR="002967F9" w:rsidRPr="002967F9" w:rsidRDefault="002967F9" w:rsidP="002967F9">
      <w:pPr>
        <w:numPr>
          <w:ilvl w:val="0"/>
          <w:numId w:val="1"/>
        </w:numPr>
        <w:tabs>
          <w:tab w:val="clear" w:pos="360"/>
        </w:tabs>
        <w:rPr>
          <w:b/>
          <w:bCs/>
          <w:lang w:val="en-US"/>
        </w:rPr>
      </w:pPr>
      <w:r w:rsidRPr="002967F9">
        <w:rPr>
          <w:b/>
          <w:bCs/>
          <w:lang w:val="en-US"/>
        </w:rPr>
        <w:t>Draft report</w:t>
      </w:r>
      <w:bookmarkStart w:id="0" w:name="_GoBack"/>
      <w:bookmarkEnd w:id="0"/>
      <w:r w:rsidRPr="002967F9">
        <w:rPr>
          <w:b/>
          <w:bCs/>
          <w:lang w:val="en-US"/>
        </w:rPr>
        <w:t xml:space="preserve"> of the 26</w:t>
      </w:r>
      <w:r w:rsidRPr="002967F9">
        <w:rPr>
          <w:b/>
          <w:bCs/>
          <w:vertAlign w:val="superscript"/>
          <w:lang w:val="en-US"/>
        </w:rPr>
        <w:t>th</w:t>
      </w:r>
      <w:r w:rsidRPr="002967F9">
        <w:rPr>
          <w:b/>
          <w:bCs/>
          <w:lang w:val="en-US"/>
        </w:rPr>
        <w:t xml:space="preserve"> General Assembly of the ESPMH in Nazareth, Israel, </w:t>
      </w:r>
    </w:p>
    <w:p w:rsidR="00C6672F" w:rsidRDefault="002967F9" w:rsidP="002967F9">
      <w:pPr>
        <w:ind w:left="360"/>
        <w:rPr>
          <w:b/>
          <w:bCs/>
          <w:lang w:val="en-US"/>
        </w:rPr>
      </w:pPr>
      <w:r w:rsidRPr="002967F9">
        <w:rPr>
          <w:b/>
          <w:bCs/>
          <w:lang w:val="en-US"/>
        </w:rPr>
        <w:t>Thursday 23 August 2012 (16.30-17.30)</w:t>
      </w:r>
    </w:p>
    <w:p w:rsidR="002967F9" w:rsidRPr="00A123CF" w:rsidRDefault="002967F9" w:rsidP="002967F9">
      <w:pPr>
        <w:ind w:left="360"/>
        <w:rPr>
          <w:b/>
          <w:bCs/>
          <w:lang w:val="en-US"/>
        </w:rPr>
      </w:pPr>
    </w:p>
    <w:p w:rsidR="00B62BE2" w:rsidRPr="00A123CF" w:rsidRDefault="00B62BE2" w:rsidP="00557FEF">
      <w:pPr>
        <w:ind w:firstLine="360"/>
      </w:pPr>
      <w:r w:rsidRPr="00A123CF">
        <w:t>The report is approved without any correction.</w:t>
      </w:r>
    </w:p>
    <w:p w:rsidR="00B62BE2" w:rsidRPr="00A123CF" w:rsidRDefault="00B62BE2" w:rsidP="00F70915">
      <w:pPr>
        <w:rPr>
          <w:b/>
          <w:bCs/>
        </w:rPr>
      </w:pPr>
    </w:p>
    <w:p w:rsidR="0080309C" w:rsidRPr="00A123CF" w:rsidRDefault="0080309C" w:rsidP="00F70915">
      <w:pPr>
        <w:rPr>
          <w:b/>
          <w:bCs/>
        </w:rPr>
      </w:pPr>
    </w:p>
    <w:p w:rsidR="00B62BE2" w:rsidRPr="00A123CF" w:rsidRDefault="00B62BE2" w:rsidP="00745DE3">
      <w:pPr>
        <w:numPr>
          <w:ilvl w:val="0"/>
          <w:numId w:val="1"/>
        </w:numPr>
        <w:rPr>
          <w:b/>
          <w:bCs/>
        </w:rPr>
      </w:pPr>
      <w:r w:rsidRPr="00A123CF">
        <w:rPr>
          <w:b/>
          <w:bCs/>
        </w:rPr>
        <w:t>Rep</w:t>
      </w:r>
      <w:r w:rsidR="002967F9">
        <w:rPr>
          <w:b/>
          <w:bCs/>
        </w:rPr>
        <w:t>ort of the ESPMH Board over 2012</w:t>
      </w:r>
    </w:p>
    <w:p w:rsidR="00B62BE2" w:rsidRPr="00A123CF" w:rsidRDefault="00B62BE2" w:rsidP="00F70915"/>
    <w:p w:rsidR="00B62BE2" w:rsidRPr="00A123CF" w:rsidRDefault="00745DE3" w:rsidP="00164864">
      <w:pPr>
        <w:pStyle w:val="ListParagraph"/>
        <w:numPr>
          <w:ilvl w:val="0"/>
          <w:numId w:val="8"/>
        </w:numPr>
        <w:rPr>
          <w:b/>
          <w:bCs/>
        </w:rPr>
      </w:pPr>
      <w:r>
        <w:rPr>
          <w:b/>
          <w:bCs/>
        </w:rPr>
        <w:t>The secretary: membership,</w:t>
      </w:r>
      <w:r w:rsidR="00B62BE2" w:rsidRPr="00A123CF">
        <w:rPr>
          <w:b/>
          <w:bCs/>
        </w:rPr>
        <w:t xml:space="preserve"> activities </w:t>
      </w:r>
    </w:p>
    <w:p w:rsidR="00B62BE2" w:rsidRPr="00A123CF" w:rsidRDefault="00B62BE2" w:rsidP="00126ECA">
      <w:pPr>
        <w:ind w:left="426"/>
      </w:pPr>
      <w:r w:rsidRPr="00A123CF">
        <w:t xml:space="preserve">During the last year the ESPMH membership has increased with </w:t>
      </w:r>
      <w:r w:rsidR="002967F9">
        <w:t>8</w:t>
      </w:r>
      <w:r w:rsidRPr="00A123CF">
        <w:t xml:space="preserve"> members from </w:t>
      </w:r>
      <w:r w:rsidR="002967F9" w:rsidRPr="00A123CF">
        <w:t>286</w:t>
      </w:r>
      <w:r w:rsidR="002967F9">
        <w:t xml:space="preserve"> </w:t>
      </w:r>
      <w:r w:rsidRPr="00A123CF">
        <w:t>to</w:t>
      </w:r>
      <w:r w:rsidR="002967F9">
        <w:t xml:space="preserve"> </w:t>
      </w:r>
      <w:r w:rsidR="002967F9" w:rsidRPr="005D6E79">
        <w:t>294</w:t>
      </w:r>
      <w:r w:rsidRPr="00A123CF">
        <w:t xml:space="preserve">. Most of the time of the secretariat was spent </w:t>
      </w:r>
      <w:r w:rsidR="00745DE3">
        <w:t>on</w:t>
      </w:r>
      <w:r w:rsidRPr="00A123CF">
        <w:t xml:space="preserve"> preparing this year’s conference in </w:t>
      </w:r>
      <w:r w:rsidR="002967F9">
        <w:t>Basel</w:t>
      </w:r>
      <w:r w:rsidRPr="00A123CF">
        <w:t xml:space="preserve">. Several mailings were sent to the members. Moreover, together with </w:t>
      </w:r>
      <w:r w:rsidR="002967F9">
        <w:t xml:space="preserve">Peter </w:t>
      </w:r>
      <w:proofErr w:type="spellStart"/>
      <w:r w:rsidR="002967F9">
        <w:t>Kakuk</w:t>
      </w:r>
      <w:proofErr w:type="spellEnd"/>
      <w:r w:rsidRPr="00A123CF">
        <w:t>, first preparat</w:t>
      </w:r>
      <w:r w:rsidR="002967F9">
        <w:t>ions have been made for the 2014</w:t>
      </w:r>
      <w:r w:rsidRPr="00A123CF">
        <w:t xml:space="preserve"> conference in </w:t>
      </w:r>
      <w:r w:rsidR="002967F9">
        <w:t>Debrecen</w:t>
      </w:r>
      <w:r w:rsidRPr="00A123CF">
        <w:t xml:space="preserve"> (</w:t>
      </w:r>
      <w:r w:rsidR="002967F9">
        <w:t>Hungary</w:t>
      </w:r>
      <w:r w:rsidRPr="00A123CF">
        <w:t xml:space="preserve">). The </w:t>
      </w:r>
      <w:r w:rsidR="002967F9">
        <w:t>Debrecen</w:t>
      </w:r>
      <w:r w:rsidRPr="00A123CF">
        <w:t xml:space="preserve"> call for abstracts has been </w:t>
      </w:r>
      <w:r w:rsidR="002967F9">
        <w:t>finalized</w:t>
      </w:r>
      <w:r w:rsidRPr="00A123CF">
        <w:t xml:space="preserve">. There have also been </w:t>
      </w:r>
      <w:r w:rsidR="002967F9">
        <w:t xml:space="preserve">preparatory </w:t>
      </w:r>
      <w:r w:rsidRPr="00A123CF">
        <w:t xml:space="preserve">talks with </w:t>
      </w:r>
      <w:proofErr w:type="spellStart"/>
      <w:r w:rsidRPr="00A123CF">
        <w:t>Ignaas</w:t>
      </w:r>
      <w:proofErr w:type="spellEnd"/>
      <w:r w:rsidRPr="00A123CF">
        <w:t xml:space="preserve"> </w:t>
      </w:r>
      <w:proofErr w:type="spellStart"/>
      <w:r w:rsidRPr="00A123CF">
        <w:t>Devisch</w:t>
      </w:r>
      <w:proofErr w:type="spellEnd"/>
      <w:r w:rsidRPr="00A123CF">
        <w:t xml:space="preserve"> </w:t>
      </w:r>
      <w:r w:rsidR="002967F9">
        <w:t>about the 2015</w:t>
      </w:r>
      <w:r w:rsidRPr="00A123CF">
        <w:t xml:space="preserve"> conference in </w:t>
      </w:r>
      <w:r w:rsidR="002967F9">
        <w:t>Ghent</w:t>
      </w:r>
      <w:r w:rsidRPr="00A123CF">
        <w:t xml:space="preserve"> (</w:t>
      </w:r>
      <w:r w:rsidR="002967F9">
        <w:t>Belgium</w:t>
      </w:r>
      <w:r w:rsidRPr="00A123CF">
        <w:t>)</w:t>
      </w:r>
      <w:r w:rsidR="002967F9">
        <w:t>. Both the Debrecen as</w:t>
      </w:r>
      <w:r w:rsidR="00745DE3">
        <w:t xml:space="preserve"> well as the Ghent proposal had</w:t>
      </w:r>
      <w:r w:rsidR="002967F9">
        <w:t xml:space="preserve"> already been accepted by the General Assembly in Nazareth. In addition</w:t>
      </w:r>
      <w:r w:rsidR="00745DE3">
        <w:t>,</w:t>
      </w:r>
      <w:r w:rsidR="002967F9">
        <w:t xml:space="preserve"> there is a proposal from </w:t>
      </w:r>
      <w:proofErr w:type="spellStart"/>
      <w:r w:rsidR="002967F9">
        <w:t>Yesim</w:t>
      </w:r>
      <w:proofErr w:type="spellEnd"/>
      <w:r w:rsidR="002967F9">
        <w:t xml:space="preserve"> </w:t>
      </w:r>
      <w:proofErr w:type="spellStart"/>
      <w:r w:rsidR="002967F9">
        <w:t>Ulman</w:t>
      </w:r>
      <w:proofErr w:type="spellEnd"/>
      <w:r w:rsidR="002967F9">
        <w:t xml:space="preserve"> </w:t>
      </w:r>
      <w:r w:rsidR="002967F9" w:rsidRPr="002967F9">
        <w:t xml:space="preserve">to host the </w:t>
      </w:r>
      <w:r w:rsidR="00745DE3" w:rsidRPr="002967F9">
        <w:t xml:space="preserve">2016 </w:t>
      </w:r>
      <w:r w:rsidR="002967F9" w:rsidRPr="002967F9">
        <w:t>ESPMH conference in Istanbul.</w:t>
      </w:r>
      <w:r w:rsidR="002967F9">
        <w:t xml:space="preserve"> This last proposal will be voted on later in this General Assembly.</w:t>
      </w:r>
    </w:p>
    <w:p w:rsidR="0080309C" w:rsidRPr="00A123CF" w:rsidRDefault="0080309C" w:rsidP="00F70915"/>
    <w:p w:rsidR="00B62BE2" w:rsidRPr="00C6672F" w:rsidRDefault="00B62BE2" w:rsidP="00164864">
      <w:pPr>
        <w:pStyle w:val="ListParagraph"/>
        <w:numPr>
          <w:ilvl w:val="0"/>
          <w:numId w:val="8"/>
        </w:numPr>
      </w:pPr>
      <w:r w:rsidRPr="00A123CF">
        <w:rPr>
          <w:b/>
          <w:bCs/>
        </w:rPr>
        <w:t>The treasurer: final account for 201</w:t>
      </w:r>
      <w:r w:rsidR="002967F9">
        <w:rPr>
          <w:b/>
          <w:bCs/>
        </w:rPr>
        <w:t>2</w:t>
      </w:r>
    </w:p>
    <w:p w:rsidR="00B62BE2" w:rsidRPr="00A123CF" w:rsidRDefault="00B62BE2" w:rsidP="00126ECA">
      <w:pPr>
        <w:ind w:left="426"/>
      </w:pPr>
      <w:r w:rsidRPr="00A123CF">
        <w:t xml:space="preserve">The ESPMH board has decided to </w:t>
      </w:r>
      <w:r w:rsidR="005C3F6F" w:rsidRPr="00A123CF">
        <w:t>continue</w:t>
      </w:r>
      <w:r w:rsidRPr="00A123CF">
        <w:t xml:space="preserve"> with the strict cancelling policy with regard to the membership. Members who - after a reminder email - do not pay their membership fee will be cancelled, meaning that they will not receive the society’s journal any more. </w:t>
      </w:r>
    </w:p>
    <w:p w:rsidR="00A123CF" w:rsidRDefault="00B62BE2" w:rsidP="00F70915">
      <w:r w:rsidRPr="00A123CF">
        <w:t xml:space="preserve"> </w:t>
      </w:r>
    </w:p>
    <w:p w:rsidR="00A123CF" w:rsidRDefault="00A123CF" w:rsidP="00F70915"/>
    <w:p w:rsidR="00B62BE2" w:rsidRPr="00C144F8" w:rsidRDefault="00504CD6" w:rsidP="00F70915">
      <w:pPr>
        <w:rPr>
          <w:b/>
        </w:rPr>
      </w:pPr>
      <w:r w:rsidRPr="00C144F8">
        <w:rPr>
          <w:b/>
        </w:rPr>
        <w:t>Year Account ESPMH 2012</w:t>
      </w:r>
    </w:p>
    <w:p w:rsidR="00B62BE2" w:rsidRDefault="00B62BE2" w:rsidP="00F70915"/>
    <w:tbl>
      <w:tblPr>
        <w:tblW w:w="8930" w:type="dxa"/>
        <w:tblInd w:w="534" w:type="dxa"/>
        <w:tblLayout w:type="fixed"/>
        <w:tblLook w:val="00A0"/>
      </w:tblPr>
      <w:tblGrid>
        <w:gridCol w:w="1559"/>
        <w:gridCol w:w="1701"/>
        <w:gridCol w:w="1276"/>
        <w:gridCol w:w="1984"/>
        <w:gridCol w:w="1134"/>
        <w:gridCol w:w="1276"/>
      </w:tblGrid>
      <w:tr w:rsidR="009C53E0" w:rsidRPr="009C53E0" w:rsidTr="009C53E0">
        <w:trPr>
          <w:trHeight w:val="255"/>
        </w:trPr>
        <w:tc>
          <w:tcPr>
            <w:tcW w:w="1559" w:type="dxa"/>
            <w:tcBorders>
              <w:top w:val="single" w:sz="4" w:space="0" w:color="auto"/>
              <w:left w:val="single" w:sz="4" w:space="0" w:color="auto"/>
              <w:bottom w:val="single" w:sz="4" w:space="0" w:color="auto"/>
              <w:right w:val="nil"/>
            </w:tcBorders>
            <w:noWrap/>
            <w:vAlign w:val="center"/>
          </w:tcPr>
          <w:p w:rsidR="009C53E0" w:rsidRPr="009C53E0" w:rsidRDefault="009C53E0" w:rsidP="009C53E0">
            <w:pPr>
              <w:rPr>
                <w:b/>
                <w:bCs/>
                <w:lang w:val="en-US"/>
              </w:rPr>
            </w:pPr>
            <w:r w:rsidRPr="009C53E0">
              <w:rPr>
                <w:b/>
                <w:bCs/>
                <w:lang w:val="en-US"/>
              </w:rPr>
              <w:t xml:space="preserve">Overview </w:t>
            </w:r>
          </w:p>
        </w:tc>
        <w:tc>
          <w:tcPr>
            <w:tcW w:w="1701" w:type="dxa"/>
            <w:tcBorders>
              <w:top w:val="single" w:sz="4" w:space="0" w:color="auto"/>
              <w:left w:val="nil"/>
              <w:bottom w:val="single" w:sz="4" w:space="0" w:color="auto"/>
              <w:right w:val="nil"/>
            </w:tcBorders>
            <w:noWrap/>
            <w:vAlign w:val="center"/>
          </w:tcPr>
          <w:p w:rsidR="009C53E0" w:rsidRPr="009C53E0" w:rsidRDefault="009C53E0" w:rsidP="009C53E0">
            <w:pPr>
              <w:rPr>
                <w:lang w:val="en-US"/>
              </w:rPr>
            </w:pPr>
            <w:r>
              <w:rPr>
                <w:b/>
                <w:bCs/>
                <w:lang w:val="en-US"/>
              </w:rPr>
              <w:t>accounts 2</w:t>
            </w:r>
            <w:r w:rsidRPr="009C53E0">
              <w:rPr>
                <w:b/>
                <w:bCs/>
                <w:lang w:val="en-US"/>
              </w:rPr>
              <w:t>012</w:t>
            </w:r>
          </w:p>
        </w:tc>
        <w:tc>
          <w:tcPr>
            <w:tcW w:w="1276" w:type="dxa"/>
            <w:tcBorders>
              <w:top w:val="single" w:sz="4" w:space="0" w:color="auto"/>
              <w:left w:val="nil"/>
              <w:bottom w:val="single" w:sz="4" w:space="0" w:color="auto"/>
              <w:right w:val="single" w:sz="4" w:space="0" w:color="auto"/>
            </w:tcBorders>
            <w:noWrap/>
            <w:vAlign w:val="bottom"/>
          </w:tcPr>
          <w:p w:rsidR="009C53E0" w:rsidRPr="009C53E0" w:rsidRDefault="009C53E0" w:rsidP="009C53E0">
            <w:pPr>
              <w:jc w:val="right"/>
              <w:rPr>
                <w:lang w:val="en-US"/>
              </w:rPr>
            </w:pPr>
          </w:p>
        </w:tc>
        <w:tc>
          <w:tcPr>
            <w:tcW w:w="1984" w:type="dxa"/>
            <w:tcBorders>
              <w:top w:val="single" w:sz="4" w:space="0" w:color="auto"/>
              <w:left w:val="single" w:sz="4" w:space="0" w:color="auto"/>
              <w:bottom w:val="single" w:sz="4" w:space="0" w:color="auto"/>
              <w:right w:val="nil"/>
            </w:tcBorders>
            <w:noWrap/>
            <w:vAlign w:val="bottom"/>
          </w:tcPr>
          <w:p w:rsidR="009C53E0" w:rsidRPr="009C53E0" w:rsidRDefault="009C53E0" w:rsidP="009C53E0">
            <w:pPr>
              <w:rPr>
                <w:lang w:val="en-US"/>
              </w:rPr>
            </w:pPr>
          </w:p>
        </w:tc>
        <w:tc>
          <w:tcPr>
            <w:tcW w:w="1134" w:type="dxa"/>
            <w:tcBorders>
              <w:top w:val="single" w:sz="4" w:space="0" w:color="auto"/>
              <w:left w:val="nil"/>
              <w:bottom w:val="single" w:sz="4" w:space="0" w:color="auto"/>
              <w:right w:val="nil"/>
            </w:tcBorders>
            <w:noWrap/>
            <w:vAlign w:val="bottom"/>
          </w:tcPr>
          <w:p w:rsidR="009C53E0" w:rsidRPr="009C53E0" w:rsidRDefault="009C53E0" w:rsidP="009C53E0">
            <w:pPr>
              <w:rPr>
                <w:lang w:val="en-US"/>
              </w:rPr>
            </w:pPr>
          </w:p>
        </w:tc>
        <w:tc>
          <w:tcPr>
            <w:tcW w:w="1276" w:type="dxa"/>
            <w:tcBorders>
              <w:top w:val="single" w:sz="4" w:space="0" w:color="auto"/>
              <w:left w:val="nil"/>
              <w:bottom w:val="single" w:sz="4" w:space="0" w:color="auto"/>
              <w:right w:val="single" w:sz="4" w:space="0" w:color="auto"/>
            </w:tcBorders>
            <w:noWrap/>
            <w:vAlign w:val="bottom"/>
          </w:tcPr>
          <w:p w:rsidR="009C53E0" w:rsidRPr="009C53E0" w:rsidRDefault="009C53E0" w:rsidP="009C53E0">
            <w:pPr>
              <w:jc w:val="right"/>
              <w:rPr>
                <w:lang w:val="en-US"/>
              </w:rPr>
            </w:pP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b/>
                <w:bCs/>
                <w:lang w:val="en-US"/>
              </w:rPr>
            </w:pPr>
            <w:r w:rsidRPr="009C53E0">
              <w:rPr>
                <w:b/>
                <w:bCs/>
                <w:lang w:val="en-US"/>
              </w:rPr>
              <w:t>INCOME</w:t>
            </w:r>
          </w:p>
        </w:tc>
        <w:tc>
          <w:tcPr>
            <w:tcW w:w="1701"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bottom w:val="nil"/>
              <w:right w:val="nil"/>
            </w:tcBorders>
            <w:noWrap/>
            <w:vAlign w:val="bottom"/>
          </w:tcPr>
          <w:p w:rsidR="009C53E0" w:rsidRPr="009C53E0" w:rsidRDefault="009C53E0" w:rsidP="009C53E0">
            <w:pPr>
              <w:rPr>
                <w:b/>
                <w:bCs/>
                <w:lang w:val="en-US"/>
              </w:rPr>
            </w:pPr>
            <w:r w:rsidRPr="009C53E0">
              <w:rPr>
                <w:b/>
                <w:bCs/>
                <w:lang w:val="en-US"/>
              </w:rPr>
              <w:t>EXPENSES</w:t>
            </w:r>
          </w:p>
        </w:tc>
        <w:tc>
          <w:tcPr>
            <w:tcW w:w="1134"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 xml:space="preserve">Membership </w:t>
            </w:r>
          </w:p>
        </w:tc>
        <w:tc>
          <w:tcPr>
            <w:tcW w:w="1701" w:type="dxa"/>
            <w:noWrap/>
            <w:vAlign w:val="bottom"/>
          </w:tcPr>
          <w:p w:rsidR="009C53E0" w:rsidRPr="009C53E0" w:rsidRDefault="009C53E0" w:rsidP="009C53E0">
            <w:pPr>
              <w:rPr>
                <w:lang w:val="en-US"/>
              </w:rPr>
            </w:pPr>
            <w:r w:rsidRPr="009C53E0">
              <w:rPr>
                <w:lang w:val="en-US"/>
              </w:rPr>
              <w:t>fees</w:t>
            </w: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Bank costs</w:t>
            </w:r>
          </w:p>
        </w:tc>
        <w:tc>
          <w:tcPr>
            <w:tcW w:w="1134"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 xml:space="preserve">General acc </w:t>
            </w:r>
          </w:p>
        </w:tc>
        <w:tc>
          <w:tcPr>
            <w:tcW w:w="1701"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r w:rsidRPr="009C53E0">
              <w:rPr>
                <w:lang w:val="en-US"/>
              </w:rPr>
              <w:t>4,773.70</w:t>
            </w: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 xml:space="preserve">Gen acc </w:t>
            </w:r>
          </w:p>
        </w:tc>
        <w:tc>
          <w:tcPr>
            <w:tcW w:w="1134" w:type="dxa"/>
            <w:noWrap/>
            <w:vAlign w:val="bottom"/>
          </w:tcPr>
          <w:p w:rsidR="009C53E0" w:rsidRPr="009C53E0" w:rsidRDefault="009C53E0" w:rsidP="009C53E0">
            <w:pPr>
              <w:rPr>
                <w:lang w:val="en-US"/>
              </w:rPr>
            </w:pPr>
            <w:r w:rsidRPr="009C53E0">
              <w:rPr>
                <w:lang w:val="en-US"/>
              </w:rPr>
              <w:t>141.01</w:t>
            </w: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Conf acc</w:t>
            </w:r>
          </w:p>
        </w:tc>
        <w:tc>
          <w:tcPr>
            <w:tcW w:w="1701" w:type="dxa"/>
            <w:noWrap/>
            <w:vAlign w:val="bottom"/>
          </w:tcPr>
          <w:p w:rsidR="009C53E0" w:rsidRPr="009C53E0" w:rsidRDefault="009C53E0" w:rsidP="009C53E0">
            <w:pPr>
              <w:rPr>
                <w:lang w:val="en-US"/>
              </w:rPr>
            </w:pPr>
          </w:p>
        </w:tc>
        <w:tc>
          <w:tcPr>
            <w:tcW w:w="1276" w:type="dxa"/>
            <w:tcBorders>
              <w:top w:val="nil"/>
              <w:left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Conf acc</w:t>
            </w:r>
          </w:p>
        </w:tc>
        <w:tc>
          <w:tcPr>
            <w:tcW w:w="1134" w:type="dxa"/>
            <w:noWrap/>
            <w:vAlign w:val="bottom"/>
          </w:tcPr>
          <w:p w:rsidR="009C53E0" w:rsidRPr="009C53E0" w:rsidRDefault="009C53E0" w:rsidP="009C53E0">
            <w:pPr>
              <w:rPr>
                <w:lang w:val="en-US"/>
              </w:rPr>
            </w:pPr>
            <w:r w:rsidRPr="009C53E0">
              <w:rPr>
                <w:lang w:val="en-US"/>
              </w:rPr>
              <w:t>85.34</w:t>
            </w:r>
          </w:p>
        </w:tc>
        <w:tc>
          <w:tcPr>
            <w:tcW w:w="1276" w:type="dxa"/>
            <w:tcBorders>
              <w:top w:val="nil"/>
              <w:left w:val="nil"/>
              <w:right w:val="single" w:sz="4" w:space="0" w:color="auto"/>
            </w:tcBorders>
            <w:noWrap/>
            <w:vAlign w:val="bottom"/>
          </w:tcPr>
          <w:p w:rsidR="009C53E0" w:rsidRPr="009C53E0" w:rsidRDefault="009C53E0" w:rsidP="009C53E0">
            <w:pPr>
              <w:jc w:val="right"/>
              <w:rPr>
                <w:lang w:val="en-US"/>
              </w:rPr>
            </w:pP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 xml:space="preserve">Postal </w:t>
            </w:r>
            <w:proofErr w:type="spellStart"/>
            <w:r w:rsidRPr="009C53E0">
              <w:rPr>
                <w:lang w:val="en-US"/>
              </w:rPr>
              <w:t>Giro</w:t>
            </w:r>
            <w:proofErr w:type="spellEnd"/>
          </w:p>
        </w:tc>
        <w:tc>
          <w:tcPr>
            <w:tcW w:w="1701" w:type="dxa"/>
            <w:tcBorders>
              <w:top w:val="nil"/>
              <w:left w:val="nil"/>
              <w:right w:val="nil"/>
            </w:tcBorders>
            <w:noWrap/>
            <w:vAlign w:val="bottom"/>
          </w:tcPr>
          <w:p w:rsidR="009C53E0" w:rsidRPr="009C53E0" w:rsidRDefault="009C53E0" w:rsidP="009C53E0">
            <w:pPr>
              <w:rPr>
                <w:lang w:val="en-US"/>
              </w:rPr>
            </w:pPr>
          </w:p>
        </w:tc>
        <w:tc>
          <w:tcPr>
            <w:tcW w:w="1276" w:type="dxa"/>
            <w:tcBorders>
              <w:top w:val="nil"/>
              <w:left w:val="nil"/>
              <w:right w:val="single" w:sz="4" w:space="0" w:color="auto"/>
            </w:tcBorders>
            <w:noWrap/>
            <w:vAlign w:val="bottom"/>
          </w:tcPr>
          <w:p w:rsidR="009C53E0" w:rsidRPr="009C53E0" w:rsidRDefault="009C53E0" w:rsidP="009C53E0">
            <w:pPr>
              <w:jc w:val="right"/>
              <w:rPr>
                <w:lang w:val="en-US"/>
              </w:rPr>
            </w:pPr>
            <w:r w:rsidRPr="009C53E0">
              <w:rPr>
                <w:lang w:val="en-US"/>
              </w:rPr>
              <w:t>240.00</w:t>
            </w: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 xml:space="preserve">Post </w:t>
            </w:r>
            <w:proofErr w:type="spellStart"/>
            <w:r w:rsidRPr="009C53E0">
              <w:rPr>
                <w:lang w:val="en-US"/>
              </w:rPr>
              <w:t>Giro</w:t>
            </w:r>
            <w:proofErr w:type="spellEnd"/>
          </w:p>
        </w:tc>
        <w:tc>
          <w:tcPr>
            <w:tcW w:w="1134" w:type="dxa"/>
            <w:tcBorders>
              <w:top w:val="nil"/>
              <w:left w:val="nil"/>
              <w:bottom w:val="single" w:sz="4" w:space="0" w:color="auto"/>
              <w:right w:val="nil"/>
            </w:tcBorders>
            <w:noWrap/>
            <w:vAlign w:val="bottom"/>
          </w:tcPr>
          <w:p w:rsidR="009C53E0" w:rsidRPr="009C53E0" w:rsidRDefault="009C53E0" w:rsidP="009C53E0">
            <w:pPr>
              <w:rPr>
                <w:lang w:val="en-US"/>
              </w:rPr>
            </w:pPr>
            <w:r w:rsidRPr="009C53E0">
              <w:rPr>
                <w:lang w:val="en-US"/>
              </w:rPr>
              <w:t>41.33</w:t>
            </w:r>
          </w:p>
        </w:tc>
        <w:tc>
          <w:tcPr>
            <w:tcW w:w="1276" w:type="dxa"/>
            <w:tcBorders>
              <w:top w:val="nil"/>
              <w:left w:val="nil"/>
              <w:right w:val="single" w:sz="4" w:space="0" w:color="auto"/>
            </w:tcBorders>
            <w:noWrap/>
            <w:vAlign w:val="bottom"/>
          </w:tcPr>
          <w:p w:rsidR="009C53E0" w:rsidRPr="009C53E0" w:rsidRDefault="009C53E0" w:rsidP="009C53E0">
            <w:pPr>
              <w:jc w:val="right"/>
              <w:rPr>
                <w:lang w:val="en-US"/>
              </w:rPr>
            </w:pP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p>
        </w:tc>
        <w:tc>
          <w:tcPr>
            <w:tcW w:w="1701" w:type="dxa"/>
            <w:tcBorders>
              <w:left w:val="nil"/>
              <w:bottom w:val="nil"/>
              <w:right w:val="nil"/>
            </w:tcBorders>
            <w:noWrap/>
            <w:vAlign w:val="bottom"/>
          </w:tcPr>
          <w:p w:rsidR="009C53E0" w:rsidRPr="009C53E0" w:rsidRDefault="009C53E0" w:rsidP="009C53E0">
            <w:pPr>
              <w:rPr>
                <w:lang w:val="en-US"/>
              </w:rPr>
            </w:pPr>
          </w:p>
        </w:tc>
        <w:tc>
          <w:tcPr>
            <w:tcW w:w="1276" w:type="dxa"/>
            <w:tcBorders>
              <w:left w:val="nil"/>
              <w:bottom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p>
        </w:tc>
        <w:tc>
          <w:tcPr>
            <w:tcW w:w="1134" w:type="dxa"/>
            <w:tcBorders>
              <w:top w:val="single" w:sz="4" w:space="0" w:color="auto"/>
              <w:left w:val="nil"/>
              <w:bottom w:val="nil"/>
              <w:right w:val="nil"/>
            </w:tcBorders>
            <w:noWrap/>
            <w:vAlign w:val="bottom"/>
          </w:tcPr>
          <w:p w:rsidR="009C53E0" w:rsidRPr="009C53E0" w:rsidRDefault="009C53E0" w:rsidP="009C53E0">
            <w:pPr>
              <w:rPr>
                <w:lang w:val="en-US"/>
              </w:rPr>
            </w:pPr>
            <w:r w:rsidRPr="009C53E0">
              <w:rPr>
                <w:lang w:val="en-US"/>
              </w:rPr>
              <w:t>267.68</w:t>
            </w:r>
          </w:p>
        </w:tc>
        <w:tc>
          <w:tcPr>
            <w:tcW w:w="1276" w:type="dxa"/>
            <w:tcBorders>
              <w:left w:val="nil"/>
              <w:bottom w:val="nil"/>
              <w:right w:val="single" w:sz="4" w:space="0" w:color="auto"/>
            </w:tcBorders>
            <w:noWrap/>
            <w:vAlign w:val="bottom"/>
          </w:tcPr>
          <w:p w:rsidR="009C53E0" w:rsidRPr="009C53E0" w:rsidRDefault="009C53E0" w:rsidP="009C53E0">
            <w:pPr>
              <w:jc w:val="right"/>
              <w:rPr>
                <w:lang w:val="en-US"/>
              </w:rPr>
            </w:pPr>
            <w:r w:rsidRPr="009C53E0">
              <w:rPr>
                <w:lang w:val="en-US"/>
              </w:rPr>
              <w:t>267.68</w:t>
            </w: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p>
        </w:tc>
        <w:tc>
          <w:tcPr>
            <w:tcW w:w="1701"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p>
        </w:tc>
        <w:tc>
          <w:tcPr>
            <w:tcW w:w="1134"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Conference</w:t>
            </w:r>
          </w:p>
        </w:tc>
        <w:tc>
          <w:tcPr>
            <w:tcW w:w="1701" w:type="dxa"/>
            <w:noWrap/>
            <w:vAlign w:val="bottom"/>
          </w:tcPr>
          <w:p w:rsidR="009C53E0" w:rsidRPr="009C53E0" w:rsidRDefault="009C53E0" w:rsidP="009C53E0">
            <w:pPr>
              <w:rPr>
                <w:lang w:val="en-US"/>
              </w:rPr>
            </w:pPr>
            <w:r w:rsidRPr="009C53E0">
              <w:rPr>
                <w:lang w:val="en-US"/>
              </w:rPr>
              <w:t>fees</w:t>
            </w: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proofErr w:type="spellStart"/>
            <w:r w:rsidRPr="009C53E0">
              <w:rPr>
                <w:lang w:val="en-US"/>
              </w:rPr>
              <w:t>Ogone</w:t>
            </w:r>
            <w:proofErr w:type="spellEnd"/>
          </w:p>
        </w:tc>
        <w:tc>
          <w:tcPr>
            <w:tcW w:w="1134"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r w:rsidRPr="009C53E0">
              <w:rPr>
                <w:lang w:val="en-US"/>
              </w:rPr>
              <w:t>478.40</w:t>
            </w: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 xml:space="preserve">General acc </w:t>
            </w:r>
          </w:p>
        </w:tc>
        <w:tc>
          <w:tcPr>
            <w:tcW w:w="1701"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r w:rsidRPr="009C53E0">
              <w:rPr>
                <w:lang w:val="en-US"/>
              </w:rPr>
              <w:t>21,353.00</w:t>
            </w: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proofErr w:type="spellStart"/>
            <w:r w:rsidRPr="009C53E0">
              <w:rPr>
                <w:lang w:val="en-US"/>
              </w:rPr>
              <w:t>Cardcie</w:t>
            </w:r>
            <w:proofErr w:type="spellEnd"/>
          </w:p>
        </w:tc>
        <w:tc>
          <w:tcPr>
            <w:tcW w:w="1134"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r w:rsidRPr="009C53E0">
              <w:rPr>
                <w:lang w:val="en-US"/>
              </w:rPr>
              <w:t>733.17</w:t>
            </w: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Conf acc</w:t>
            </w:r>
          </w:p>
        </w:tc>
        <w:tc>
          <w:tcPr>
            <w:tcW w:w="1701" w:type="dxa"/>
            <w:noWrap/>
            <w:vAlign w:val="bottom"/>
          </w:tcPr>
          <w:p w:rsidR="009C53E0" w:rsidRPr="009C53E0" w:rsidRDefault="009C53E0" w:rsidP="009C53E0">
            <w:pPr>
              <w:rPr>
                <w:lang w:val="en-US"/>
              </w:rPr>
            </w:pPr>
          </w:p>
        </w:tc>
        <w:tc>
          <w:tcPr>
            <w:tcW w:w="1276" w:type="dxa"/>
            <w:tcBorders>
              <w:top w:val="nil"/>
              <w:left w:val="nil"/>
              <w:right w:val="single" w:sz="4" w:space="0" w:color="auto"/>
            </w:tcBorders>
            <w:noWrap/>
            <w:vAlign w:val="bottom"/>
          </w:tcPr>
          <w:p w:rsidR="009C53E0" w:rsidRPr="009C53E0" w:rsidRDefault="009C53E0" w:rsidP="009C53E0">
            <w:pPr>
              <w:jc w:val="right"/>
              <w:rPr>
                <w:lang w:val="en-US"/>
              </w:rPr>
            </w:pPr>
            <w:r w:rsidRPr="009C53E0">
              <w:rPr>
                <w:lang w:val="en-US"/>
              </w:rPr>
              <w:t>12,025.00</w:t>
            </w: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Ch of commerce</w:t>
            </w:r>
          </w:p>
        </w:tc>
        <w:tc>
          <w:tcPr>
            <w:tcW w:w="1134"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r w:rsidRPr="009C53E0">
              <w:rPr>
                <w:lang w:val="en-US"/>
              </w:rPr>
              <w:t>24.08</w:t>
            </w: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p>
        </w:tc>
        <w:tc>
          <w:tcPr>
            <w:tcW w:w="1701" w:type="dxa"/>
            <w:noWrap/>
            <w:vAlign w:val="bottom"/>
          </w:tcPr>
          <w:p w:rsidR="009C53E0" w:rsidRPr="009C53E0" w:rsidRDefault="009C53E0" w:rsidP="009C53E0">
            <w:pPr>
              <w:rPr>
                <w:lang w:val="en-US"/>
              </w:rPr>
            </w:pPr>
          </w:p>
        </w:tc>
        <w:tc>
          <w:tcPr>
            <w:tcW w:w="1276" w:type="dxa"/>
            <w:tcBorders>
              <w:top w:val="nil"/>
              <w:left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Secretariat</w:t>
            </w:r>
          </w:p>
        </w:tc>
        <w:tc>
          <w:tcPr>
            <w:tcW w:w="1134"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r w:rsidRPr="009C53E0">
              <w:rPr>
                <w:lang w:val="en-US"/>
              </w:rPr>
              <w:t>6,423.98</w:t>
            </w: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Post acc</w:t>
            </w:r>
          </w:p>
        </w:tc>
        <w:tc>
          <w:tcPr>
            <w:tcW w:w="1701" w:type="dxa"/>
            <w:tcBorders>
              <w:top w:val="nil"/>
              <w:left w:val="nil"/>
              <w:right w:val="nil"/>
            </w:tcBorders>
            <w:noWrap/>
            <w:vAlign w:val="bottom"/>
          </w:tcPr>
          <w:p w:rsidR="009C53E0" w:rsidRPr="009C53E0" w:rsidRDefault="009C53E0" w:rsidP="009C53E0">
            <w:pPr>
              <w:rPr>
                <w:lang w:val="en-US"/>
              </w:rPr>
            </w:pPr>
          </w:p>
        </w:tc>
        <w:tc>
          <w:tcPr>
            <w:tcW w:w="1276" w:type="dxa"/>
            <w:tcBorders>
              <w:top w:val="nil"/>
              <w:left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Treasury</w:t>
            </w:r>
          </w:p>
        </w:tc>
        <w:tc>
          <w:tcPr>
            <w:tcW w:w="1134"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r w:rsidRPr="009C53E0">
              <w:rPr>
                <w:lang w:val="en-US"/>
              </w:rPr>
              <w:t>2,000.00</w:t>
            </w: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p>
        </w:tc>
        <w:tc>
          <w:tcPr>
            <w:tcW w:w="1701" w:type="dxa"/>
            <w:tcBorders>
              <w:left w:val="nil"/>
              <w:bottom w:val="nil"/>
              <w:right w:val="nil"/>
            </w:tcBorders>
            <w:noWrap/>
            <w:vAlign w:val="bottom"/>
          </w:tcPr>
          <w:p w:rsidR="009C53E0" w:rsidRPr="009C53E0" w:rsidRDefault="009C53E0" w:rsidP="009C53E0">
            <w:pPr>
              <w:rPr>
                <w:lang w:val="en-US"/>
              </w:rPr>
            </w:pPr>
          </w:p>
        </w:tc>
        <w:tc>
          <w:tcPr>
            <w:tcW w:w="1276" w:type="dxa"/>
            <w:tcBorders>
              <w:left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Nazareth</w:t>
            </w:r>
          </w:p>
        </w:tc>
        <w:tc>
          <w:tcPr>
            <w:tcW w:w="1134" w:type="dxa"/>
            <w:noWrap/>
            <w:vAlign w:val="bottom"/>
          </w:tcPr>
          <w:p w:rsidR="009C53E0" w:rsidRPr="009C53E0" w:rsidRDefault="009C53E0" w:rsidP="009C53E0">
            <w:pPr>
              <w:rPr>
                <w:lang w:val="en-US"/>
              </w:rPr>
            </w:pPr>
          </w:p>
        </w:tc>
        <w:tc>
          <w:tcPr>
            <w:tcW w:w="1276" w:type="dxa"/>
            <w:tcBorders>
              <w:top w:val="nil"/>
              <w:left w:val="nil"/>
              <w:bottom w:val="nil"/>
              <w:right w:val="single" w:sz="4" w:space="0" w:color="auto"/>
            </w:tcBorders>
            <w:noWrap/>
            <w:vAlign w:val="bottom"/>
          </w:tcPr>
          <w:p w:rsidR="009C53E0" w:rsidRPr="009C53E0" w:rsidRDefault="009C53E0" w:rsidP="009C53E0">
            <w:pPr>
              <w:jc w:val="right"/>
              <w:rPr>
                <w:lang w:val="en-US"/>
              </w:rPr>
            </w:pPr>
            <w:r w:rsidRPr="009C53E0">
              <w:rPr>
                <w:lang w:val="en-US"/>
              </w:rPr>
              <w:t>13,670.00</w:t>
            </w: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Interest</w:t>
            </w:r>
          </w:p>
        </w:tc>
        <w:tc>
          <w:tcPr>
            <w:tcW w:w="1701" w:type="dxa"/>
            <w:noWrap/>
            <w:vAlign w:val="bottom"/>
          </w:tcPr>
          <w:p w:rsidR="009C53E0" w:rsidRPr="009C53E0" w:rsidRDefault="009C53E0" w:rsidP="009C53E0">
            <w:pPr>
              <w:rPr>
                <w:lang w:val="en-US"/>
              </w:rPr>
            </w:pPr>
          </w:p>
        </w:tc>
        <w:tc>
          <w:tcPr>
            <w:tcW w:w="1276" w:type="dxa"/>
            <w:tcBorders>
              <w:top w:val="nil"/>
              <w:left w:val="nil"/>
              <w:bottom w:val="single" w:sz="4" w:space="0" w:color="auto"/>
              <w:right w:val="single" w:sz="4" w:space="0" w:color="auto"/>
            </w:tcBorders>
            <w:noWrap/>
            <w:vAlign w:val="bottom"/>
          </w:tcPr>
          <w:p w:rsidR="009C53E0" w:rsidRPr="009C53E0" w:rsidRDefault="009C53E0" w:rsidP="009C53E0">
            <w:pPr>
              <w:jc w:val="right"/>
              <w:rPr>
                <w:lang w:val="en-US"/>
              </w:rPr>
            </w:pPr>
            <w:r w:rsidRPr="009C53E0">
              <w:rPr>
                <w:lang w:val="en-US"/>
              </w:rPr>
              <w:t>580.33</w:t>
            </w: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Board costs</w:t>
            </w:r>
          </w:p>
        </w:tc>
        <w:tc>
          <w:tcPr>
            <w:tcW w:w="1134" w:type="dxa"/>
            <w:noWrap/>
            <w:vAlign w:val="bottom"/>
          </w:tcPr>
          <w:p w:rsidR="009C53E0" w:rsidRPr="009C53E0" w:rsidRDefault="009C53E0" w:rsidP="009C53E0">
            <w:pPr>
              <w:rPr>
                <w:lang w:val="en-US"/>
              </w:rPr>
            </w:pPr>
          </w:p>
        </w:tc>
        <w:tc>
          <w:tcPr>
            <w:tcW w:w="1276" w:type="dxa"/>
            <w:tcBorders>
              <w:top w:val="nil"/>
              <w:left w:val="nil"/>
              <w:right w:val="single" w:sz="4" w:space="0" w:color="auto"/>
            </w:tcBorders>
            <w:noWrap/>
            <w:vAlign w:val="bottom"/>
          </w:tcPr>
          <w:p w:rsidR="009C53E0" w:rsidRPr="009C53E0" w:rsidRDefault="009C53E0" w:rsidP="009C53E0">
            <w:pPr>
              <w:jc w:val="right"/>
              <w:rPr>
                <w:lang w:val="en-US"/>
              </w:rPr>
            </w:pPr>
            <w:r w:rsidRPr="009C53E0">
              <w:rPr>
                <w:lang w:val="en-US"/>
              </w:rPr>
              <w:t>2,595.80</w:t>
            </w: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b/>
                <w:lang w:val="en-US"/>
              </w:rPr>
            </w:pPr>
            <w:r w:rsidRPr="009C53E0">
              <w:rPr>
                <w:b/>
                <w:lang w:val="en-US"/>
              </w:rPr>
              <w:t>Total</w:t>
            </w:r>
          </w:p>
        </w:tc>
        <w:tc>
          <w:tcPr>
            <w:tcW w:w="1701" w:type="dxa"/>
            <w:noWrap/>
            <w:vAlign w:val="bottom"/>
          </w:tcPr>
          <w:p w:rsidR="009C53E0" w:rsidRPr="009C53E0" w:rsidRDefault="009C53E0" w:rsidP="009C53E0">
            <w:pPr>
              <w:rPr>
                <w:lang w:val="en-US"/>
              </w:rPr>
            </w:pPr>
          </w:p>
        </w:tc>
        <w:tc>
          <w:tcPr>
            <w:tcW w:w="1276" w:type="dxa"/>
            <w:tcBorders>
              <w:top w:val="single" w:sz="4" w:space="0" w:color="auto"/>
              <w:left w:val="nil"/>
              <w:right w:val="single" w:sz="4" w:space="0" w:color="auto"/>
            </w:tcBorders>
            <w:noWrap/>
            <w:vAlign w:val="bottom"/>
          </w:tcPr>
          <w:p w:rsidR="009C53E0" w:rsidRPr="009C53E0" w:rsidRDefault="009C53E0" w:rsidP="009C53E0">
            <w:pPr>
              <w:jc w:val="right"/>
              <w:rPr>
                <w:lang w:val="en-US"/>
              </w:rPr>
            </w:pPr>
            <w:r w:rsidRPr="009C53E0">
              <w:rPr>
                <w:lang w:val="en-US"/>
              </w:rPr>
              <w:t>38,972.03</w:t>
            </w: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Refunds</w:t>
            </w:r>
          </w:p>
        </w:tc>
        <w:tc>
          <w:tcPr>
            <w:tcW w:w="1134" w:type="dxa"/>
            <w:noWrap/>
            <w:vAlign w:val="bottom"/>
          </w:tcPr>
          <w:p w:rsidR="009C53E0" w:rsidRPr="009C53E0" w:rsidRDefault="009C53E0" w:rsidP="009C53E0">
            <w:pPr>
              <w:rPr>
                <w:lang w:val="en-US"/>
              </w:rPr>
            </w:pPr>
          </w:p>
        </w:tc>
        <w:tc>
          <w:tcPr>
            <w:tcW w:w="1276" w:type="dxa"/>
            <w:tcBorders>
              <w:top w:val="nil"/>
              <w:left w:val="nil"/>
              <w:right w:val="single" w:sz="4" w:space="0" w:color="auto"/>
            </w:tcBorders>
            <w:noWrap/>
            <w:vAlign w:val="bottom"/>
          </w:tcPr>
          <w:p w:rsidR="009C53E0" w:rsidRPr="009C53E0" w:rsidRDefault="009C53E0" w:rsidP="009C53E0">
            <w:pPr>
              <w:jc w:val="right"/>
              <w:rPr>
                <w:lang w:val="en-US"/>
              </w:rPr>
            </w:pPr>
            <w:r w:rsidRPr="009C53E0">
              <w:rPr>
                <w:lang w:val="en-US"/>
              </w:rPr>
              <w:t>547.50</w:t>
            </w: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b/>
                <w:lang w:val="en-US"/>
              </w:rPr>
            </w:pPr>
          </w:p>
        </w:tc>
        <w:tc>
          <w:tcPr>
            <w:tcW w:w="1701" w:type="dxa"/>
            <w:noWrap/>
            <w:vAlign w:val="bottom"/>
          </w:tcPr>
          <w:p w:rsidR="009C53E0" w:rsidRPr="009C53E0" w:rsidRDefault="009C53E0" w:rsidP="009C53E0">
            <w:pPr>
              <w:rPr>
                <w:lang w:val="en-US"/>
              </w:rPr>
            </w:pPr>
          </w:p>
        </w:tc>
        <w:tc>
          <w:tcPr>
            <w:tcW w:w="1276" w:type="dxa"/>
            <w:tcBorders>
              <w:left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ESPMH homepage</w:t>
            </w:r>
          </w:p>
        </w:tc>
        <w:tc>
          <w:tcPr>
            <w:tcW w:w="1134" w:type="dxa"/>
            <w:noWrap/>
            <w:vAlign w:val="bottom"/>
          </w:tcPr>
          <w:p w:rsidR="009C53E0" w:rsidRPr="009C53E0" w:rsidRDefault="009C53E0" w:rsidP="009C53E0">
            <w:pPr>
              <w:rPr>
                <w:lang w:val="en-US"/>
              </w:rPr>
            </w:pPr>
          </w:p>
        </w:tc>
        <w:tc>
          <w:tcPr>
            <w:tcW w:w="1276" w:type="dxa"/>
            <w:tcBorders>
              <w:left w:val="nil"/>
              <w:right w:val="single" w:sz="4" w:space="0" w:color="auto"/>
            </w:tcBorders>
            <w:noWrap/>
            <w:vAlign w:val="bottom"/>
          </w:tcPr>
          <w:p w:rsidR="009C53E0" w:rsidRPr="009C53E0" w:rsidRDefault="009C53E0" w:rsidP="009C53E0">
            <w:pPr>
              <w:jc w:val="right"/>
              <w:rPr>
                <w:lang w:val="en-US"/>
              </w:rPr>
            </w:pPr>
            <w:r w:rsidRPr="009C53E0">
              <w:rPr>
                <w:lang w:val="en-US"/>
              </w:rPr>
              <w:t>2,149.44</w:t>
            </w: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p>
        </w:tc>
        <w:tc>
          <w:tcPr>
            <w:tcW w:w="1701" w:type="dxa"/>
            <w:noWrap/>
            <w:vAlign w:val="bottom"/>
          </w:tcPr>
          <w:p w:rsidR="009C53E0" w:rsidRPr="009C53E0" w:rsidRDefault="009C53E0" w:rsidP="009C53E0">
            <w:pPr>
              <w:rPr>
                <w:lang w:val="en-US"/>
              </w:rPr>
            </w:pPr>
          </w:p>
        </w:tc>
        <w:tc>
          <w:tcPr>
            <w:tcW w:w="1276" w:type="dxa"/>
            <w:tcBorders>
              <w:left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bottom w:val="nil"/>
              <w:right w:val="nil"/>
            </w:tcBorders>
            <w:noWrap/>
            <w:vAlign w:val="bottom"/>
          </w:tcPr>
          <w:p w:rsidR="009C53E0" w:rsidRPr="009C53E0" w:rsidRDefault="009C53E0" w:rsidP="009C53E0">
            <w:pPr>
              <w:rPr>
                <w:lang w:val="en-US"/>
              </w:rPr>
            </w:pPr>
            <w:r w:rsidRPr="009C53E0">
              <w:rPr>
                <w:lang w:val="en-US"/>
              </w:rPr>
              <w:t>Journal</w:t>
            </w:r>
          </w:p>
        </w:tc>
        <w:tc>
          <w:tcPr>
            <w:tcW w:w="1134" w:type="dxa"/>
            <w:noWrap/>
            <w:vAlign w:val="bottom"/>
          </w:tcPr>
          <w:p w:rsidR="009C53E0" w:rsidRPr="009C53E0" w:rsidRDefault="009C53E0" w:rsidP="009C53E0">
            <w:pPr>
              <w:rPr>
                <w:lang w:val="en-US"/>
              </w:rPr>
            </w:pPr>
          </w:p>
        </w:tc>
        <w:tc>
          <w:tcPr>
            <w:tcW w:w="1276" w:type="dxa"/>
            <w:tcBorders>
              <w:left w:val="nil"/>
              <w:bottom w:val="single" w:sz="4" w:space="0" w:color="auto"/>
              <w:right w:val="single" w:sz="4" w:space="0" w:color="auto"/>
            </w:tcBorders>
            <w:noWrap/>
            <w:vAlign w:val="bottom"/>
          </w:tcPr>
          <w:p w:rsidR="009C53E0" w:rsidRPr="009C53E0" w:rsidRDefault="009C53E0" w:rsidP="009C53E0">
            <w:pPr>
              <w:jc w:val="right"/>
              <w:rPr>
                <w:lang w:val="en-US"/>
              </w:rPr>
            </w:pPr>
            <w:r w:rsidRPr="009C53E0">
              <w:rPr>
                <w:lang w:val="en-US"/>
              </w:rPr>
              <w:t>17,788.92</w:t>
            </w:r>
          </w:p>
        </w:tc>
      </w:tr>
      <w:tr w:rsidR="009C53E0" w:rsidRPr="009C53E0" w:rsidTr="009C53E0">
        <w:trPr>
          <w:trHeight w:val="255"/>
        </w:trPr>
        <w:tc>
          <w:tcPr>
            <w:tcW w:w="1559" w:type="dxa"/>
            <w:tcBorders>
              <w:top w:val="nil"/>
              <w:left w:val="single" w:sz="4" w:space="0" w:color="auto"/>
              <w:bottom w:val="nil"/>
              <w:right w:val="nil"/>
            </w:tcBorders>
            <w:noWrap/>
            <w:vAlign w:val="bottom"/>
          </w:tcPr>
          <w:p w:rsidR="009C53E0" w:rsidRPr="009C53E0" w:rsidRDefault="009C53E0" w:rsidP="009C53E0">
            <w:pPr>
              <w:rPr>
                <w:lang w:val="en-US"/>
              </w:rPr>
            </w:pPr>
          </w:p>
        </w:tc>
        <w:tc>
          <w:tcPr>
            <w:tcW w:w="1701" w:type="dxa"/>
            <w:noWrap/>
            <w:vAlign w:val="bottom"/>
          </w:tcPr>
          <w:p w:rsidR="009C53E0" w:rsidRPr="009C53E0" w:rsidRDefault="009C53E0" w:rsidP="009C53E0">
            <w:pPr>
              <w:rPr>
                <w:lang w:val="en-US"/>
              </w:rPr>
            </w:pPr>
          </w:p>
        </w:tc>
        <w:tc>
          <w:tcPr>
            <w:tcW w:w="1276" w:type="dxa"/>
            <w:tcBorders>
              <w:left w:val="nil"/>
              <w:bottom w:val="nil"/>
              <w:right w:val="single" w:sz="4" w:space="0" w:color="auto"/>
            </w:tcBorders>
            <w:noWrap/>
            <w:vAlign w:val="bottom"/>
          </w:tcPr>
          <w:p w:rsidR="009C53E0" w:rsidRPr="009C53E0" w:rsidRDefault="009C53E0" w:rsidP="009C53E0">
            <w:pPr>
              <w:jc w:val="right"/>
              <w:rPr>
                <w:lang w:val="en-US"/>
              </w:rPr>
            </w:pPr>
          </w:p>
        </w:tc>
        <w:tc>
          <w:tcPr>
            <w:tcW w:w="1984" w:type="dxa"/>
            <w:tcBorders>
              <w:top w:val="nil"/>
              <w:left w:val="single" w:sz="4" w:space="0" w:color="auto"/>
              <w:right w:val="nil"/>
            </w:tcBorders>
            <w:noWrap/>
            <w:vAlign w:val="bottom"/>
          </w:tcPr>
          <w:p w:rsidR="009C53E0" w:rsidRPr="009C53E0" w:rsidRDefault="009C53E0" w:rsidP="009C53E0">
            <w:pPr>
              <w:rPr>
                <w:lang w:val="en-US"/>
              </w:rPr>
            </w:pPr>
          </w:p>
        </w:tc>
        <w:tc>
          <w:tcPr>
            <w:tcW w:w="1134" w:type="dxa"/>
            <w:noWrap/>
            <w:vAlign w:val="bottom"/>
          </w:tcPr>
          <w:p w:rsidR="009C53E0" w:rsidRPr="009C53E0" w:rsidRDefault="009C53E0" w:rsidP="009C53E0">
            <w:pPr>
              <w:rPr>
                <w:lang w:val="en-US"/>
              </w:rPr>
            </w:pPr>
          </w:p>
        </w:tc>
        <w:tc>
          <w:tcPr>
            <w:tcW w:w="1276" w:type="dxa"/>
            <w:tcBorders>
              <w:top w:val="single" w:sz="4" w:space="0" w:color="auto"/>
              <w:left w:val="nil"/>
              <w:right w:val="single" w:sz="4" w:space="0" w:color="auto"/>
            </w:tcBorders>
            <w:noWrap/>
            <w:vAlign w:val="bottom"/>
          </w:tcPr>
          <w:p w:rsidR="009C53E0" w:rsidRPr="009C53E0" w:rsidRDefault="009C53E0" w:rsidP="009C53E0">
            <w:pPr>
              <w:jc w:val="right"/>
              <w:rPr>
                <w:lang w:val="en-US"/>
              </w:rPr>
            </w:pPr>
          </w:p>
        </w:tc>
      </w:tr>
      <w:tr w:rsidR="009C53E0" w:rsidRPr="009C53E0" w:rsidTr="009C53E0">
        <w:trPr>
          <w:trHeight w:val="255"/>
        </w:trPr>
        <w:tc>
          <w:tcPr>
            <w:tcW w:w="1559" w:type="dxa"/>
            <w:tcBorders>
              <w:top w:val="nil"/>
              <w:left w:val="single" w:sz="4" w:space="0" w:color="auto"/>
              <w:bottom w:val="single" w:sz="4" w:space="0" w:color="auto"/>
              <w:right w:val="nil"/>
            </w:tcBorders>
            <w:noWrap/>
            <w:vAlign w:val="bottom"/>
          </w:tcPr>
          <w:p w:rsidR="009C53E0" w:rsidRPr="009C53E0" w:rsidRDefault="009C53E0" w:rsidP="009C53E0">
            <w:pPr>
              <w:rPr>
                <w:b/>
                <w:bCs/>
                <w:lang w:val="en-US"/>
              </w:rPr>
            </w:pPr>
          </w:p>
        </w:tc>
        <w:tc>
          <w:tcPr>
            <w:tcW w:w="1701" w:type="dxa"/>
            <w:tcBorders>
              <w:top w:val="nil"/>
              <w:left w:val="nil"/>
              <w:bottom w:val="single" w:sz="4" w:space="0" w:color="auto"/>
              <w:right w:val="nil"/>
            </w:tcBorders>
            <w:noWrap/>
            <w:vAlign w:val="bottom"/>
          </w:tcPr>
          <w:p w:rsidR="009C53E0" w:rsidRPr="009C53E0" w:rsidRDefault="009C53E0" w:rsidP="009C53E0">
            <w:pPr>
              <w:rPr>
                <w:lang w:val="en-US"/>
              </w:rPr>
            </w:pPr>
          </w:p>
        </w:tc>
        <w:tc>
          <w:tcPr>
            <w:tcW w:w="1276" w:type="dxa"/>
            <w:tcBorders>
              <w:top w:val="nil"/>
              <w:left w:val="nil"/>
              <w:bottom w:val="single" w:sz="4" w:space="0" w:color="auto"/>
              <w:right w:val="single" w:sz="4" w:space="0" w:color="auto"/>
            </w:tcBorders>
            <w:noWrap/>
            <w:vAlign w:val="bottom"/>
          </w:tcPr>
          <w:p w:rsidR="009C53E0" w:rsidRPr="009C53E0" w:rsidRDefault="009C53E0" w:rsidP="009C53E0">
            <w:pPr>
              <w:jc w:val="right"/>
              <w:rPr>
                <w:b/>
                <w:bCs/>
                <w:lang w:val="en-US"/>
              </w:rPr>
            </w:pPr>
          </w:p>
        </w:tc>
        <w:tc>
          <w:tcPr>
            <w:tcW w:w="1984" w:type="dxa"/>
            <w:tcBorders>
              <w:top w:val="nil"/>
              <w:left w:val="single" w:sz="4" w:space="0" w:color="auto"/>
              <w:right w:val="nil"/>
            </w:tcBorders>
            <w:noWrap/>
            <w:vAlign w:val="bottom"/>
          </w:tcPr>
          <w:p w:rsidR="009C53E0" w:rsidRPr="009C53E0" w:rsidRDefault="009C53E0" w:rsidP="009C53E0">
            <w:pPr>
              <w:rPr>
                <w:lang w:val="en-US"/>
              </w:rPr>
            </w:pPr>
          </w:p>
        </w:tc>
        <w:tc>
          <w:tcPr>
            <w:tcW w:w="1134" w:type="dxa"/>
            <w:tcBorders>
              <w:top w:val="nil"/>
              <w:left w:val="nil"/>
              <w:right w:val="nil"/>
            </w:tcBorders>
            <w:noWrap/>
            <w:vAlign w:val="bottom"/>
          </w:tcPr>
          <w:p w:rsidR="009C53E0" w:rsidRPr="009C53E0" w:rsidRDefault="009C53E0" w:rsidP="009C53E0">
            <w:pPr>
              <w:rPr>
                <w:lang w:val="en-US"/>
              </w:rPr>
            </w:pPr>
          </w:p>
        </w:tc>
        <w:tc>
          <w:tcPr>
            <w:tcW w:w="1276" w:type="dxa"/>
            <w:tcBorders>
              <w:top w:val="nil"/>
              <w:left w:val="nil"/>
              <w:right w:val="single" w:sz="4" w:space="0" w:color="auto"/>
            </w:tcBorders>
            <w:noWrap/>
            <w:vAlign w:val="bottom"/>
          </w:tcPr>
          <w:p w:rsidR="009C53E0" w:rsidRPr="009C53E0" w:rsidRDefault="009C53E0" w:rsidP="009C53E0">
            <w:pPr>
              <w:jc w:val="right"/>
              <w:rPr>
                <w:lang w:val="en-US"/>
              </w:rPr>
            </w:pPr>
          </w:p>
        </w:tc>
      </w:tr>
      <w:tr w:rsidR="009C53E0" w:rsidRPr="009C53E0" w:rsidTr="009C53E0">
        <w:trPr>
          <w:trHeight w:val="255"/>
        </w:trPr>
        <w:tc>
          <w:tcPr>
            <w:tcW w:w="1559" w:type="dxa"/>
            <w:tcBorders>
              <w:top w:val="single" w:sz="4" w:space="0" w:color="auto"/>
              <w:left w:val="single" w:sz="4" w:space="0" w:color="auto"/>
              <w:bottom w:val="single" w:sz="4" w:space="0" w:color="auto"/>
              <w:right w:val="nil"/>
            </w:tcBorders>
            <w:noWrap/>
            <w:vAlign w:val="bottom"/>
          </w:tcPr>
          <w:p w:rsidR="009C53E0" w:rsidRPr="009C53E0" w:rsidRDefault="009C53E0" w:rsidP="009C53E0">
            <w:pPr>
              <w:rPr>
                <w:b/>
                <w:bCs/>
                <w:lang w:val="en-US"/>
              </w:rPr>
            </w:pPr>
            <w:proofErr w:type="spellStart"/>
            <w:r w:rsidRPr="009C53E0">
              <w:rPr>
                <w:b/>
                <w:bCs/>
                <w:lang w:val="en-US"/>
              </w:rPr>
              <w:t>Neg</w:t>
            </w:r>
            <w:proofErr w:type="spellEnd"/>
            <w:r w:rsidRPr="009C53E0">
              <w:rPr>
                <w:b/>
                <w:bCs/>
                <w:lang w:val="en-US"/>
              </w:rPr>
              <w:t xml:space="preserve"> </w:t>
            </w:r>
            <w:proofErr w:type="spellStart"/>
            <w:r w:rsidRPr="009C53E0">
              <w:rPr>
                <w:b/>
                <w:bCs/>
                <w:lang w:val="en-US"/>
              </w:rPr>
              <w:t>Saldo</w:t>
            </w:r>
            <w:proofErr w:type="spellEnd"/>
          </w:p>
        </w:tc>
        <w:tc>
          <w:tcPr>
            <w:tcW w:w="1701" w:type="dxa"/>
            <w:tcBorders>
              <w:top w:val="single" w:sz="4" w:space="0" w:color="auto"/>
              <w:left w:val="nil"/>
              <w:bottom w:val="single" w:sz="4" w:space="0" w:color="auto"/>
              <w:right w:val="nil"/>
            </w:tcBorders>
            <w:noWrap/>
            <w:vAlign w:val="bottom"/>
          </w:tcPr>
          <w:p w:rsidR="009C53E0" w:rsidRPr="009C53E0" w:rsidRDefault="009C53E0" w:rsidP="009C53E0">
            <w:pPr>
              <w:rPr>
                <w:lang w:val="en-US"/>
              </w:rPr>
            </w:pPr>
          </w:p>
        </w:tc>
        <w:tc>
          <w:tcPr>
            <w:tcW w:w="1276" w:type="dxa"/>
            <w:tcBorders>
              <w:top w:val="single" w:sz="4" w:space="0" w:color="auto"/>
              <w:left w:val="nil"/>
              <w:bottom w:val="single" w:sz="4" w:space="0" w:color="auto"/>
              <w:right w:val="single" w:sz="4" w:space="0" w:color="auto"/>
            </w:tcBorders>
            <w:noWrap/>
            <w:vAlign w:val="bottom"/>
          </w:tcPr>
          <w:p w:rsidR="009C53E0" w:rsidRPr="009C53E0" w:rsidRDefault="009C53E0" w:rsidP="009C53E0">
            <w:pPr>
              <w:jc w:val="right"/>
              <w:rPr>
                <w:b/>
                <w:bCs/>
                <w:lang w:val="en-US"/>
              </w:rPr>
            </w:pPr>
            <w:r w:rsidRPr="009C53E0">
              <w:rPr>
                <w:b/>
                <w:bCs/>
                <w:lang w:val="en-US"/>
              </w:rPr>
              <w:t>7,706.94</w:t>
            </w:r>
          </w:p>
        </w:tc>
        <w:tc>
          <w:tcPr>
            <w:tcW w:w="1984" w:type="dxa"/>
            <w:tcBorders>
              <w:left w:val="single" w:sz="4" w:space="0" w:color="auto"/>
              <w:bottom w:val="single" w:sz="4" w:space="0" w:color="auto"/>
              <w:right w:val="nil"/>
            </w:tcBorders>
            <w:noWrap/>
            <w:vAlign w:val="bottom"/>
          </w:tcPr>
          <w:p w:rsidR="009C53E0" w:rsidRPr="009C53E0" w:rsidRDefault="009C53E0" w:rsidP="009C53E0">
            <w:pPr>
              <w:rPr>
                <w:lang w:val="en-US"/>
              </w:rPr>
            </w:pPr>
          </w:p>
        </w:tc>
        <w:tc>
          <w:tcPr>
            <w:tcW w:w="1134" w:type="dxa"/>
            <w:tcBorders>
              <w:left w:val="nil"/>
              <w:bottom w:val="single" w:sz="4" w:space="0" w:color="auto"/>
              <w:right w:val="nil"/>
            </w:tcBorders>
            <w:noWrap/>
            <w:vAlign w:val="bottom"/>
          </w:tcPr>
          <w:p w:rsidR="009C53E0" w:rsidRPr="009C53E0" w:rsidRDefault="009C53E0" w:rsidP="009C53E0">
            <w:pPr>
              <w:rPr>
                <w:lang w:val="en-US"/>
              </w:rPr>
            </w:pPr>
          </w:p>
        </w:tc>
        <w:tc>
          <w:tcPr>
            <w:tcW w:w="1276" w:type="dxa"/>
            <w:tcBorders>
              <w:left w:val="nil"/>
              <w:bottom w:val="single" w:sz="4" w:space="0" w:color="auto"/>
              <w:right w:val="single" w:sz="4" w:space="0" w:color="auto"/>
            </w:tcBorders>
            <w:noWrap/>
            <w:vAlign w:val="bottom"/>
          </w:tcPr>
          <w:p w:rsidR="009C53E0" w:rsidRPr="009C53E0" w:rsidRDefault="009C53E0" w:rsidP="009C53E0">
            <w:pPr>
              <w:jc w:val="right"/>
              <w:rPr>
                <w:b/>
                <w:lang w:val="en-US"/>
              </w:rPr>
            </w:pPr>
          </w:p>
        </w:tc>
      </w:tr>
      <w:tr w:rsidR="009C53E0" w:rsidRPr="009C53E0" w:rsidTr="009C53E0">
        <w:trPr>
          <w:trHeight w:val="255"/>
        </w:trPr>
        <w:tc>
          <w:tcPr>
            <w:tcW w:w="1559" w:type="dxa"/>
            <w:tcBorders>
              <w:top w:val="single" w:sz="4" w:space="0" w:color="auto"/>
              <w:left w:val="single" w:sz="4" w:space="0" w:color="auto"/>
              <w:bottom w:val="single" w:sz="4" w:space="0" w:color="auto"/>
              <w:right w:val="nil"/>
            </w:tcBorders>
            <w:noWrap/>
            <w:vAlign w:val="center"/>
          </w:tcPr>
          <w:p w:rsidR="009C53E0" w:rsidRPr="009C53E0" w:rsidRDefault="009C53E0" w:rsidP="009C53E0">
            <w:pPr>
              <w:rPr>
                <w:b/>
                <w:bCs/>
                <w:lang w:val="en-US"/>
              </w:rPr>
            </w:pPr>
            <w:r w:rsidRPr="009C53E0">
              <w:rPr>
                <w:b/>
                <w:bCs/>
                <w:lang w:val="en-US"/>
              </w:rPr>
              <w:t>Totals</w:t>
            </w:r>
          </w:p>
        </w:tc>
        <w:tc>
          <w:tcPr>
            <w:tcW w:w="1701" w:type="dxa"/>
            <w:tcBorders>
              <w:top w:val="single" w:sz="4" w:space="0" w:color="auto"/>
              <w:left w:val="nil"/>
              <w:bottom w:val="single" w:sz="4" w:space="0" w:color="auto"/>
              <w:right w:val="nil"/>
            </w:tcBorders>
            <w:noWrap/>
            <w:vAlign w:val="bottom"/>
          </w:tcPr>
          <w:p w:rsidR="009C53E0" w:rsidRPr="009C53E0" w:rsidRDefault="009C53E0" w:rsidP="009C53E0">
            <w:pPr>
              <w:rPr>
                <w:lang w:val="en-US"/>
              </w:rPr>
            </w:pPr>
          </w:p>
        </w:tc>
        <w:tc>
          <w:tcPr>
            <w:tcW w:w="1276" w:type="dxa"/>
            <w:tcBorders>
              <w:top w:val="single" w:sz="4" w:space="0" w:color="auto"/>
              <w:left w:val="nil"/>
              <w:bottom w:val="single" w:sz="4" w:space="0" w:color="auto"/>
              <w:right w:val="single" w:sz="4" w:space="0" w:color="auto"/>
            </w:tcBorders>
            <w:noWrap/>
            <w:vAlign w:val="center"/>
          </w:tcPr>
          <w:p w:rsidR="009C53E0" w:rsidRPr="009C53E0" w:rsidRDefault="009C53E0" w:rsidP="009C53E0">
            <w:pPr>
              <w:jc w:val="right"/>
              <w:rPr>
                <w:b/>
                <w:bCs/>
                <w:lang w:val="en-US"/>
              </w:rPr>
            </w:pPr>
            <w:r w:rsidRPr="009C53E0">
              <w:rPr>
                <w:b/>
                <w:lang w:val="en-US"/>
              </w:rPr>
              <w:t>46,678.97</w:t>
            </w:r>
          </w:p>
        </w:tc>
        <w:tc>
          <w:tcPr>
            <w:tcW w:w="1984" w:type="dxa"/>
            <w:tcBorders>
              <w:top w:val="single" w:sz="4" w:space="0" w:color="auto"/>
              <w:left w:val="single" w:sz="4" w:space="0" w:color="auto"/>
              <w:bottom w:val="single" w:sz="4" w:space="0" w:color="auto"/>
              <w:right w:val="nil"/>
            </w:tcBorders>
            <w:noWrap/>
            <w:vAlign w:val="bottom"/>
          </w:tcPr>
          <w:p w:rsidR="009C53E0" w:rsidRPr="009C53E0" w:rsidRDefault="009C53E0" w:rsidP="009C53E0">
            <w:pPr>
              <w:rPr>
                <w:b/>
                <w:lang w:val="en-US"/>
              </w:rPr>
            </w:pPr>
          </w:p>
        </w:tc>
        <w:tc>
          <w:tcPr>
            <w:tcW w:w="1134" w:type="dxa"/>
            <w:tcBorders>
              <w:top w:val="single" w:sz="4" w:space="0" w:color="auto"/>
              <w:left w:val="nil"/>
              <w:bottom w:val="single" w:sz="4" w:space="0" w:color="auto"/>
              <w:right w:val="nil"/>
            </w:tcBorders>
            <w:noWrap/>
            <w:vAlign w:val="bottom"/>
          </w:tcPr>
          <w:p w:rsidR="009C53E0" w:rsidRPr="009C53E0" w:rsidRDefault="009C53E0" w:rsidP="009C53E0">
            <w:pPr>
              <w:rPr>
                <w:b/>
                <w:lang w:val="en-US"/>
              </w:rPr>
            </w:pPr>
          </w:p>
        </w:tc>
        <w:tc>
          <w:tcPr>
            <w:tcW w:w="1276" w:type="dxa"/>
            <w:tcBorders>
              <w:top w:val="single" w:sz="4" w:space="0" w:color="auto"/>
              <w:left w:val="nil"/>
              <w:bottom w:val="single" w:sz="4" w:space="0" w:color="auto"/>
              <w:right w:val="single" w:sz="4" w:space="0" w:color="auto"/>
            </w:tcBorders>
            <w:noWrap/>
            <w:vAlign w:val="center"/>
          </w:tcPr>
          <w:p w:rsidR="009C53E0" w:rsidRPr="009C53E0" w:rsidRDefault="009C53E0" w:rsidP="009C53E0">
            <w:pPr>
              <w:jc w:val="right"/>
              <w:rPr>
                <w:b/>
                <w:bCs/>
                <w:lang w:val="en-US"/>
              </w:rPr>
            </w:pPr>
            <w:r w:rsidRPr="009C53E0">
              <w:rPr>
                <w:b/>
                <w:lang w:val="en-US"/>
              </w:rPr>
              <w:t>46,678.97</w:t>
            </w:r>
          </w:p>
        </w:tc>
      </w:tr>
    </w:tbl>
    <w:p w:rsidR="009C53E0" w:rsidRDefault="009C53E0" w:rsidP="00F70915"/>
    <w:p w:rsidR="00A123CF" w:rsidRPr="00A123CF" w:rsidRDefault="00A123CF" w:rsidP="00F70915"/>
    <w:p w:rsidR="00B62BE2" w:rsidRDefault="00B62BE2" w:rsidP="00745DE3">
      <w:pPr>
        <w:numPr>
          <w:ilvl w:val="0"/>
          <w:numId w:val="1"/>
        </w:numPr>
        <w:rPr>
          <w:b/>
          <w:bCs/>
        </w:rPr>
      </w:pPr>
      <w:r w:rsidRPr="00A123CF">
        <w:rPr>
          <w:b/>
          <w:bCs/>
        </w:rPr>
        <w:t>Report of the Fina</w:t>
      </w:r>
      <w:r w:rsidR="002967F9">
        <w:rPr>
          <w:b/>
          <w:bCs/>
        </w:rPr>
        <w:t>ncial Review Committee over 2012</w:t>
      </w:r>
    </w:p>
    <w:p w:rsidR="00C6672F" w:rsidRPr="00A123CF" w:rsidRDefault="00C6672F" w:rsidP="00C6672F">
      <w:pPr>
        <w:ind w:left="360"/>
        <w:rPr>
          <w:b/>
          <w:bCs/>
        </w:rPr>
      </w:pPr>
    </w:p>
    <w:p w:rsidR="00B62BE2" w:rsidRPr="00A123CF" w:rsidRDefault="00B62BE2" w:rsidP="00515F28">
      <w:pPr>
        <w:ind w:left="360"/>
      </w:pPr>
      <w:r w:rsidRPr="00A123CF">
        <w:t xml:space="preserve">David </w:t>
      </w:r>
      <w:proofErr w:type="spellStart"/>
      <w:r w:rsidRPr="00A123CF">
        <w:t>Badcott</w:t>
      </w:r>
      <w:proofErr w:type="spellEnd"/>
      <w:r w:rsidRPr="00A123CF">
        <w:t xml:space="preserve"> and </w:t>
      </w:r>
      <w:proofErr w:type="spellStart"/>
      <w:r w:rsidRPr="00A123CF">
        <w:t>Bjørn</w:t>
      </w:r>
      <w:proofErr w:type="spellEnd"/>
      <w:r w:rsidRPr="00A123CF">
        <w:t xml:space="preserve"> Hofmann have asses</w:t>
      </w:r>
      <w:r w:rsidR="002967F9">
        <w:t xml:space="preserve">sed the ESPMH accounts over </w:t>
      </w:r>
      <w:r w:rsidR="002A7669">
        <w:t xml:space="preserve">the year </w:t>
      </w:r>
      <w:r w:rsidR="002967F9">
        <w:t>2012</w:t>
      </w:r>
      <w:r w:rsidRPr="00A123CF">
        <w:t xml:space="preserve">. </w:t>
      </w:r>
      <w:r w:rsidR="002967F9">
        <w:t xml:space="preserve">David </w:t>
      </w:r>
      <w:proofErr w:type="spellStart"/>
      <w:r w:rsidR="002967F9">
        <w:t>Badcott</w:t>
      </w:r>
      <w:proofErr w:type="spellEnd"/>
      <w:r w:rsidR="002967F9">
        <w:t xml:space="preserve"> reports in the General Assembly. Everything is in order. </w:t>
      </w:r>
      <w:r w:rsidRPr="00A123CF">
        <w:t xml:space="preserve">The </w:t>
      </w:r>
      <w:r w:rsidR="005C3F6F" w:rsidRPr="00A123CF">
        <w:t>GA approves the Financial Account over 2012</w:t>
      </w:r>
      <w:r w:rsidRPr="00A123CF">
        <w:t xml:space="preserve">. </w:t>
      </w:r>
    </w:p>
    <w:p w:rsidR="00B62BE2" w:rsidRDefault="00B62BE2" w:rsidP="00F70915"/>
    <w:p w:rsidR="00A123CF" w:rsidRPr="00A123CF" w:rsidRDefault="00A123CF" w:rsidP="00F70915"/>
    <w:p w:rsidR="00B62BE2" w:rsidRDefault="00B62BE2" w:rsidP="00745DE3">
      <w:pPr>
        <w:numPr>
          <w:ilvl w:val="0"/>
          <w:numId w:val="1"/>
        </w:numPr>
        <w:rPr>
          <w:b/>
          <w:bCs/>
        </w:rPr>
      </w:pPr>
      <w:r w:rsidRPr="00A123CF">
        <w:rPr>
          <w:b/>
          <w:bCs/>
        </w:rPr>
        <w:t>Election of Financial Review Committee over</w:t>
      </w:r>
      <w:r w:rsidR="00C6672F">
        <w:rPr>
          <w:b/>
          <w:bCs/>
        </w:rPr>
        <w:t xml:space="preserve"> 201</w:t>
      </w:r>
      <w:r w:rsidR="002967F9">
        <w:rPr>
          <w:b/>
          <w:bCs/>
        </w:rPr>
        <w:t>3</w:t>
      </w:r>
    </w:p>
    <w:p w:rsidR="00C6672F" w:rsidRPr="00A123CF" w:rsidRDefault="00C6672F" w:rsidP="00C6672F">
      <w:pPr>
        <w:ind w:left="360"/>
        <w:rPr>
          <w:b/>
          <w:bCs/>
        </w:rPr>
      </w:pPr>
    </w:p>
    <w:p w:rsidR="00B62BE2" w:rsidRPr="00A123CF" w:rsidRDefault="00B62BE2" w:rsidP="00515F28">
      <w:pPr>
        <w:ind w:left="360"/>
      </w:pPr>
      <w:r w:rsidRPr="00A123CF">
        <w:t xml:space="preserve">Both David </w:t>
      </w:r>
      <w:proofErr w:type="spellStart"/>
      <w:r w:rsidRPr="00A123CF">
        <w:t>Badcott</w:t>
      </w:r>
      <w:proofErr w:type="spellEnd"/>
      <w:r w:rsidRPr="00A123CF">
        <w:t xml:space="preserve"> and </w:t>
      </w:r>
      <w:proofErr w:type="spellStart"/>
      <w:r w:rsidRPr="00A123CF">
        <w:t>Bjørn</w:t>
      </w:r>
      <w:proofErr w:type="spellEnd"/>
      <w:r w:rsidRPr="00A123CF">
        <w:t xml:space="preserve"> Hofmann have declared to be willing to continue as members of the Financial Review Committee. They </w:t>
      </w:r>
      <w:r w:rsidR="00077CA0">
        <w:t>are</w:t>
      </w:r>
      <w:r w:rsidR="00276E47">
        <w:t xml:space="preserve"> </w:t>
      </w:r>
      <w:r w:rsidRPr="00A123CF">
        <w:t xml:space="preserve">re-elected as members. </w:t>
      </w:r>
    </w:p>
    <w:p w:rsidR="00B62BE2" w:rsidRDefault="00B62BE2" w:rsidP="00F70915"/>
    <w:p w:rsidR="00A123CF" w:rsidRPr="00A123CF" w:rsidRDefault="00A123CF" w:rsidP="00F70915"/>
    <w:p w:rsidR="00B62BE2" w:rsidRDefault="00B62BE2" w:rsidP="00745DE3">
      <w:pPr>
        <w:numPr>
          <w:ilvl w:val="0"/>
          <w:numId w:val="1"/>
        </w:numPr>
        <w:rPr>
          <w:b/>
          <w:bCs/>
        </w:rPr>
      </w:pPr>
      <w:r w:rsidRPr="00A123CF">
        <w:rPr>
          <w:b/>
          <w:bCs/>
        </w:rPr>
        <w:t>Membership fee</w:t>
      </w:r>
    </w:p>
    <w:p w:rsidR="00C6672F" w:rsidRPr="00A123CF" w:rsidRDefault="00C6672F" w:rsidP="00C6672F">
      <w:pPr>
        <w:ind w:left="360"/>
        <w:rPr>
          <w:b/>
          <w:bCs/>
        </w:rPr>
      </w:pPr>
    </w:p>
    <w:p w:rsidR="00B62BE2" w:rsidRDefault="00B62BE2" w:rsidP="00515F28">
      <w:pPr>
        <w:ind w:left="360"/>
      </w:pPr>
      <w:r w:rsidRPr="00A123CF">
        <w:lastRenderedPageBreak/>
        <w:t xml:space="preserve">The Board proposes that the annual membership fee remains </w:t>
      </w:r>
      <w:r w:rsidR="00276E47">
        <w:t>€</w:t>
      </w:r>
      <w:r w:rsidRPr="00A123CF">
        <w:t>60</w:t>
      </w:r>
      <w:proofErr w:type="gramStart"/>
      <w:r w:rsidR="00276E47">
        <w:t>,-</w:t>
      </w:r>
      <w:proofErr w:type="gramEnd"/>
      <w:r w:rsidR="00276E47">
        <w:t xml:space="preserve"> for individuals and €250,- </w:t>
      </w:r>
      <w:r w:rsidRPr="00A123CF">
        <w:t>for Institutions. This is approved by the GA.</w:t>
      </w:r>
    </w:p>
    <w:p w:rsidR="00093323" w:rsidRPr="00A123CF" w:rsidRDefault="00093323" w:rsidP="00515F28">
      <w:pPr>
        <w:ind w:left="360"/>
      </w:pPr>
    </w:p>
    <w:p w:rsidR="00B62BE2" w:rsidRPr="00276E47" w:rsidRDefault="002967F9" w:rsidP="00745DE3">
      <w:pPr>
        <w:numPr>
          <w:ilvl w:val="0"/>
          <w:numId w:val="1"/>
        </w:numPr>
        <w:rPr>
          <w:b/>
          <w:bCs/>
        </w:rPr>
      </w:pPr>
      <w:r w:rsidRPr="00276E47">
        <w:rPr>
          <w:b/>
          <w:bCs/>
        </w:rPr>
        <w:t>Preliminary budget 2014</w:t>
      </w:r>
    </w:p>
    <w:p w:rsidR="00A123CF" w:rsidRPr="00276E47" w:rsidRDefault="00A123CF" w:rsidP="00A123CF">
      <w:pPr>
        <w:ind w:left="360"/>
        <w:rPr>
          <w:b/>
          <w:bCs/>
          <w:highlight w:val="yellow"/>
        </w:rPr>
      </w:pPr>
    </w:p>
    <w:tbl>
      <w:tblPr>
        <w:tblW w:w="8264" w:type="dxa"/>
        <w:tblInd w:w="392" w:type="dxa"/>
        <w:tblLayout w:type="fixed"/>
        <w:tblLook w:val="00A0"/>
      </w:tblPr>
      <w:tblGrid>
        <w:gridCol w:w="3118"/>
        <w:gridCol w:w="893"/>
        <w:gridCol w:w="241"/>
        <w:gridCol w:w="3119"/>
        <w:gridCol w:w="893"/>
      </w:tblGrid>
      <w:tr w:rsidR="00276E47" w:rsidRPr="00276E47" w:rsidTr="00A26366">
        <w:trPr>
          <w:trHeight w:val="255"/>
        </w:trPr>
        <w:tc>
          <w:tcPr>
            <w:tcW w:w="3118" w:type="dxa"/>
            <w:tcBorders>
              <w:top w:val="single" w:sz="4" w:space="0" w:color="auto"/>
              <w:left w:val="single" w:sz="4" w:space="0" w:color="auto"/>
              <w:bottom w:val="single" w:sz="4" w:space="0" w:color="auto"/>
              <w:right w:val="nil"/>
            </w:tcBorders>
            <w:noWrap/>
            <w:vAlign w:val="center"/>
          </w:tcPr>
          <w:p w:rsidR="00276E47" w:rsidRPr="00276E47" w:rsidRDefault="00276E47" w:rsidP="00F70915">
            <w:pPr>
              <w:rPr>
                <w:b/>
                <w:bCs/>
              </w:rPr>
            </w:pPr>
            <w:r w:rsidRPr="00276E47">
              <w:rPr>
                <w:b/>
                <w:bCs/>
              </w:rPr>
              <w:t>Budget 2014</w:t>
            </w:r>
          </w:p>
        </w:tc>
        <w:tc>
          <w:tcPr>
            <w:tcW w:w="893" w:type="dxa"/>
            <w:tcBorders>
              <w:top w:val="single" w:sz="4" w:space="0" w:color="auto"/>
              <w:left w:val="nil"/>
              <w:bottom w:val="single" w:sz="4" w:space="0" w:color="auto"/>
            </w:tcBorders>
            <w:noWrap/>
            <w:vAlign w:val="bottom"/>
          </w:tcPr>
          <w:p w:rsidR="00276E47" w:rsidRPr="00276E47" w:rsidRDefault="00276E47" w:rsidP="00276E47">
            <w:pPr>
              <w:jc w:val="right"/>
            </w:pPr>
          </w:p>
        </w:tc>
        <w:tc>
          <w:tcPr>
            <w:tcW w:w="241" w:type="dxa"/>
            <w:tcBorders>
              <w:top w:val="single" w:sz="4" w:space="0" w:color="auto"/>
              <w:bottom w:val="single" w:sz="4" w:space="0" w:color="auto"/>
              <w:right w:val="single" w:sz="4" w:space="0" w:color="auto"/>
            </w:tcBorders>
          </w:tcPr>
          <w:p w:rsidR="00276E47" w:rsidRPr="00276E47" w:rsidRDefault="00276E47" w:rsidP="00F70915"/>
        </w:tc>
        <w:tc>
          <w:tcPr>
            <w:tcW w:w="3119" w:type="dxa"/>
            <w:tcBorders>
              <w:top w:val="single" w:sz="4" w:space="0" w:color="auto"/>
              <w:left w:val="single" w:sz="4" w:space="0" w:color="auto"/>
              <w:bottom w:val="single" w:sz="4" w:space="0" w:color="auto"/>
              <w:right w:val="nil"/>
            </w:tcBorders>
            <w:noWrap/>
            <w:vAlign w:val="bottom"/>
          </w:tcPr>
          <w:p w:rsidR="00276E47" w:rsidRPr="00276E47" w:rsidRDefault="00276E47" w:rsidP="00F70915"/>
        </w:tc>
        <w:tc>
          <w:tcPr>
            <w:tcW w:w="893" w:type="dxa"/>
            <w:tcBorders>
              <w:top w:val="single" w:sz="4" w:space="0" w:color="auto"/>
              <w:left w:val="nil"/>
              <w:bottom w:val="single" w:sz="4" w:space="0" w:color="auto"/>
              <w:right w:val="single" w:sz="4" w:space="0" w:color="auto"/>
            </w:tcBorders>
            <w:noWrap/>
            <w:vAlign w:val="bottom"/>
          </w:tcPr>
          <w:p w:rsidR="00276E47" w:rsidRPr="00276E47" w:rsidRDefault="00276E47" w:rsidP="00276E47">
            <w:pPr>
              <w:jc w:val="right"/>
            </w:pPr>
          </w:p>
        </w:tc>
      </w:tr>
      <w:tr w:rsidR="00276E47" w:rsidRPr="00276E47" w:rsidTr="00A26366">
        <w:trPr>
          <w:trHeight w:val="255"/>
        </w:trPr>
        <w:tc>
          <w:tcPr>
            <w:tcW w:w="3118" w:type="dxa"/>
            <w:tcBorders>
              <w:top w:val="single" w:sz="4" w:space="0" w:color="auto"/>
              <w:left w:val="single" w:sz="4" w:space="0" w:color="auto"/>
              <w:bottom w:val="nil"/>
              <w:right w:val="nil"/>
            </w:tcBorders>
            <w:noWrap/>
            <w:vAlign w:val="bottom"/>
          </w:tcPr>
          <w:p w:rsidR="00276E47" w:rsidRPr="00276E47" w:rsidRDefault="00276E47" w:rsidP="00172040">
            <w:pPr>
              <w:jc w:val="left"/>
              <w:rPr>
                <w:b/>
                <w:bCs/>
              </w:rPr>
            </w:pPr>
            <w:r w:rsidRPr="00276E47">
              <w:rPr>
                <w:b/>
                <w:bCs/>
              </w:rPr>
              <w:t>INCOME</w:t>
            </w:r>
          </w:p>
        </w:tc>
        <w:tc>
          <w:tcPr>
            <w:tcW w:w="893" w:type="dxa"/>
            <w:tcBorders>
              <w:top w:val="single" w:sz="4" w:space="0" w:color="auto"/>
              <w:left w:val="nil"/>
              <w:bottom w:val="nil"/>
            </w:tcBorders>
            <w:noWrap/>
            <w:vAlign w:val="bottom"/>
          </w:tcPr>
          <w:p w:rsidR="00276E47" w:rsidRPr="00276E47" w:rsidRDefault="00276E47" w:rsidP="00276E47">
            <w:pPr>
              <w:jc w:val="right"/>
            </w:pPr>
          </w:p>
        </w:tc>
        <w:tc>
          <w:tcPr>
            <w:tcW w:w="241" w:type="dxa"/>
            <w:tcBorders>
              <w:top w:val="single" w:sz="4" w:space="0" w:color="auto"/>
              <w:right w:val="single" w:sz="4" w:space="0" w:color="auto"/>
            </w:tcBorders>
          </w:tcPr>
          <w:p w:rsidR="00276E47" w:rsidRPr="00276E47" w:rsidRDefault="00276E47" w:rsidP="00F70915">
            <w:pPr>
              <w:rPr>
                <w:b/>
                <w:bCs/>
              </w:rPr>
            </w:pPr>
          </w:p>
        </w:tc>
        <w:tc>
          <w:tcPr>
            <w:tcW w:w="3119" w:type="dxa"/>
            <w:tcBorders>
              <w:top w:val="single" w:sz="4" w:space="0" w:color="auto"/>
              <w:left w:val="single" w:sz="4" w:space="0" w:color="auto"/>
              <w:bottom w:val="nil"/>
              <w:right w:val="nil"/>
            </w:tcBorders>
            <w:noWrap/>
            <w:vAlign w:val="bottom"/>
          </w:tcPr>
          <w:p w:rsidR="00276E47" w:rsidRPr="00276E47" w:rsidRDefault="00276E47" w:rsidP="00F70915">
            <w:pPr>
              <w:rPr>
                <w:b/>
                <w:bCs/>
              </w:rPr>
            </w:pPr>
            <w:r w:rsidRPr="00276E47">
              <w:rPr>
                <w:b/>
                <w:bCs/>
              </w:rPr>
              <w:t>EXPENSES</w:t>
            </w:r>
          </w:p>
        </w:tc>
        <w:tc>
          <w:tcPr>
            <w:tcW w:w="893" w:type="dxa"/>
            <w:tcBorders>
              <w:top w:val="single" w:sz="4" w:space="0" w:color="auto"/>
              <w:left w:val="nil"/>
              <w:bottom w:val="nil"/>
              <w:right w:val="single" w:sz="4" w:space="0" w:color="auto"/>
            </w:tcBorders>
            <w:noWrap/>
            <w:vAlign w:val="bottom"/>
          </w:tcPr>
          <w:p w:rsidR="00276E47" w:rsidRPr="00276E47" w:rsidRDefault="00276E47" w:rsidP="00276E47">
            <w:pPr>
              <w:jc w:val="right"/>
            </w:pPr>
          </w:p>
        </w:tc>
      </w:tr>
      <w:tr w:rsidR="00276E47" w:rsidRPr="00276E47" w:rsidTr="00A26366">
        <w:trPr>
          <w:trHeight w:val="255"/>
        </w:trPr>
        <w:tc>
          <w:tcPr>
            <w:tcW w:w="3118" w:type="dxa"/>
            <w:tcBorders>
              <w:top w:val="nil"/>
              <w:left w:val="single" w:sz="4" w:space="0" w:color="auto"/>
              <w:bottom w:val="nil"/>
              <w:right w:val="nil"/>
            </w:tcBorders>
            <w:noWrap/>
            <w:vAlign w:val="bottom"/>
          </w:tcPr>
          <w:p w:rsidR="00276E47" w:rsidRPr="00276E47" w:rsidRDefault="00276E47" w:rsidP="00172040">
            <w:pPr>
              <w:jc w:val="left"/>
            </w:pPr>
            <w:r w:rsidRPr="00276E47">
              <w:t xml:space="preserve">Membership fees </w:t>
            </w:r>
            <w:r>
              <w:t>(</w:t>
            </w:r>
            <w:r w:rsidRPr="00276E47">
              <w:t>200 x 60</w:t>
            </w:r>
            <w:r>
              <w:t>)</w:t>
            </w:r>
          </w:p>
        </w:tc>
        <w:tc>
          <w:tcPr>
            <w:tcW w:w="893" w:type="dxa"/>
            <w:tcBorders>
              <w:top w:val="nil"/>
              <w:left w:val="nil"/>
              <w:bottom w:val="nil"/>
            </w:tcBorders>
            <w:noWrap/>
            <w:vAlign w:val="bottom"/>
          </w:tcPr>
          <w:p w:rsidR="00276E47" w:rsidRPr="00276E47" w:rsidRDefault="00276E47" w:rsidP="00276E47">
            <w:pPr>
              <w:jc w:val="right"/>
            </w:pPr>
            <w:r w:rsidRPr="00276E47">
              <w:t>12</w:t>
            </w:r>
            <w:r>
              <w:t>,</w:t>
            </w:r>
            <w:r w:rsidRPr="00276E47">
              <w:t>000</w:t>
            </w:r>
          </w:p>
        </w:tc>
        <w:tc>
          <w:tcPr>
            <w:tcW w:w="241" w:type="dxa"/>
            <w:tcBorders>
              <w:top w:val="nil"/>
              <w:bottom w:val="nil"/>
              <w:right w:val="single" w:sz="4" w:space="0" w:color="auto"/>
            </w:tcBorders>
          </w:tcPr>
          <w:p w:rsidR="00276E47" w:rsidRPr="00276E47" w:rsidRDefault="00276E47" w:rsidP="00F70915"/>
        </w:tc>
        <w:tc>
          <w:tcPr>
            <w:tcW w:w="3119" w:type="dxa"/>
            <w:tcBorders>
              <w:top w:val="nil"/>
              <w:left w:val="single" w:sz="4" w:space="0" w:color="auto"/>
              <w:bottom w:val="nil"/>
              <w:right w:val="nil"/>
            </w:tcBorders>
            <w:noWrap/>
            <w:vAlign w:val="bottom"/>
          </w:tcPr>
          <w:p w:rsidR="00276E47" w:rsidRPr="00276E47" w:rsidRDefault="00276E47" w:rsidP="00F70915">
            <w:r w:rsidRPr="00276E47">
              <w:t>Bank costs</w:t>
            </w:r>
          </w:p>
        </w:tc>
        <w:tc>
          <w:tcPr>
            <w:tcW w:w="893" w:type="dxa"/>
            <w:tcBorders>
              <w:top w:val="nil"/>
              <w:left w:val="nil"/>
              <w:bottom w:val="nil"/>
              <w:right w:val="single" w:sz="4" w:space="0" w:color="auto"/>
            </w:tcBorders>
            <w:noWrap/>
            <w:vAlign w:val="bottom"/>
          </w:tcPr>
          <w:p w:rsidR="00276E47" w:rsidRPr="00276E47" w:rsidRDefault="000320CE" w:rsidP="00276E47">
            <w:pPr>
              <w:jc w:val="right"/>
            </w:pPr>
            <w:r>
              <w:t>8</w:t>
            </w:r>
            <w:r w:rsidR="00276E47" w:rsidRPr="00276E47">
              <w:t>00</w:t>
            </w:r>
          </w:p>
        </w:tc>
      </w:tr>
      <w:tr w:rsidR="00276E47" w:rsidRPr="00276E47" w:rsidTr="00A26366">
        <w:trPr>
          <w:trHeight w:val="255"/>
        </w:trPr>
        <w:tc>
          <w:tcPr>
            <w:tcW w:w="3118" w:type="dxa"/>
            <w:tcBorders>
              <w:top w:val="nil"/>
              <w:left w:val="single" w:sz="4" w:space="0" w:color="auto"/>
              <w:bottom w:val="nil"/>
              <w:right w:val="nil"/>
            </w:tcBorders>
            <w:noWrap/>
            <w:vAlign w:val="bottom"/>
          </w:tcPr>
          <w:p w:rsidR="00276E47" w:rsidRPr="00276E47" w:rsidRDefault="00276E47" w:rsidP="00276E47">
            <w:pPr>
              <w:jc w:val="left"/>
            </w:pPr>
            <w:r w:rsidRPr="00276E47">
              <w:t xml:space="preserve">Conference fees </w:t>
            </w:r>
            <w:r>
              <w:t>(</w:t>
            </w:r>
            <w:r w:rsidRPr="00276E47">
              <w:t>100 x 400</w:t>
            </w:r>
            <w:r>
              <w:t>)</w:t>
            </w:r>
          </w:p>
        </w:tc>
        <w:tc>
          <w:tcPr>
            <w:tcW w:w="893" w:type="dxa"/>
            <w:tcBorders>
              <w:top w:val="nil"/>
              <w:left w:val="nil"/>
            </w:tcBorders>
            <w:noWrap/>
            <w:vAlign w:val="bottom"/>
          </w:tcPr>
          <w:p w:rsidR="00276E47" w:rsidRPr="00276E47" w:rsidRDefault="00276E47" w:rsidP="00276E47">
            <w:pPr>
              <w:jc w:val="right"/>
            </w:pPr>
            <w:r>
              <w:t>40,</w:t>
            </w:r>
            <w:r w:rsidRPr="00276E47">
              <w:t>000</w:t>
            </w:r>
          </w:p>
        </w:tc>
        <w:tc>
          <w:tcPr>
            <w:tcW w:w="241" w:type="dxa"/>
            <w:tcBorders>
              <w:top w:val="nil"/>
              <w:bottom w:val="nil"/>
              <w:right w:val="single" w:sz="4" w:space="0" w:color="auto"/>
            </w:tcBorders>
          </w:tcPr>
          <w:p w:rsidR="00276E47" w:rsidRPr="00276E47" w:rsidRDefault="00276E47" w:rsidP="00F70915"/>
        </w:tc>
        <w:tc>
          <w:tcPr>
            <w:tcW w:w="3119" w:type="dxa"/>
            <w:tcBorders>
              <w:top w:val="nil"/>
              <w:left w:val="single" w:sz="4" w:space="0" w:color="auto"/>
              <w:bottom w:val="nil"/>
              <w:right w:val="nil"/>
            </w:tcBorders>
            <w:noWrap/>
            <w:vAlign w:val="bottom"/>
          </w:tcPr>
          <w:p w:rsidR="00276E47" w:rsidRPr="00276E47" w:rsidRDefault="00276E47" w:rsidP="00F70915">
            <w:r w:rsidRPr="00276E47">
              <w:t>Card comp</w:t>
            </w:r>
          </w:p>
        </w:tc>
        <w:tc>
          <w:tcPr>
            <w:tcW w:w="893" w:type="dxa"/>
            <w:tcBorders>
              <w:top w:val="nil"/>
              <w:left w:val="nil"/>
              <w:bottom w:val="nil"/>
              <w:right w:val="single" w:sz="4" w:space="0" w:color="auto"/>
            </w:tcBorders>
            <w:noWrap/>
            <w:vAlign w:val="bottom"/>
          </w:tcPr>
          <w:p w:rsidR="00276E47" w:rsidRPr="00276E47" w:rsidRDefault="000320CE" w:rsidP="00276E47">
            <w:pPr>
              <w:jc w:val="right"/>
            </w:pPr>
            <w:r>
              <w:t>1,</w:t>
            </w:r>
            <w:r w:rsidR="00276E47" w:rsidRPr="00276E47">
              <w:t>000</w:t>
            </w:r>
          </w:p>
        </w:tc>
      </w:tr>
      <w:tr w:rsidR="00276E47" w:rsidRPr="00276E47" w:rsidTr="00A26366">
        <w:trPr>
          <w:trHeight w:val="255"/>
        </w:trPr>
        <w:tc>
          <w:tcPr>
            <w:tcW w:w="3118" w:type="dxa"/>
            <w:tcBorders>
              <w:top w:val="nil"/>
              <w:left w:val="single" w:sz="4" w:space="0" w:color="auto"/>
              <w:bottom w:val="nil"/>
              <w:right w:val="nil"/>
            </w:tcBorders>
            <w:noWrap/>
            <w:vAlign w:val="bottom"/>
          </w:tcPr>
          <w:p w:rsidR="00276E47" w:rsidRPr="00276E47" w:rsidRDefault="00276E47" w:rsidP="00172040">
            <w:pPr>
              <w:jc w:val="left"/>
            </w:pPr>
            <w:r w:rsidRPr="00276E47">
              <w:t>Interest</w:t>
            </w:r>
          </w:p>
        </w:tc>
        <w:tc>
          <w:tcPr>
            <w:tcW w:w="893" w:type="dxa"/>
            <w:tcBorders>
              <w:top w:val="nil"/>
              <w:left w:val="nil"/>
              <w:bottom w:val="single" w:sz="4" w:space="0" w:color="auto"/>
            </w:tcBorders>
            <w:noWrap/>
            <w:vAlign w:val="bottom"/>
          </w:tcPr>
          <w:p w:rsidR="00276E47" w:rsidRPr="00276E47" w:rsidRDefault="00276E47" w:rsidP="00276E47">
            <w:pPr>
              <w:jc w:val="right"/>
            </w:pPr>
            <w:r w:rsidRPr="00276E47">
              <w:t>500</w:t>
            </w:r>
          </w:p>
        </w:tc>
        <w:tc>
          <w:tcPr>
            <w:tcW w:w="241" w:type="dxa"/>
            <w:tcBorders>
              <w:top w:val="nil"/>
              <w:bottom w:val="nil"/>
              <w:right w:val="single" w:sz="4" w:space="0" w:color="auto"/>
            </w:tcBorders>
          </w:tcPr>
          <w:p w:rsidR="00276E47" w:rsidRPr="00276E47" w:rsidRDefault="00276E47" w:rsidP="00F70915"/>
        </w:tc>
        <w:tc>
          <w:tcPr>
            <w:tcW w:w="3119" w:type="dxa"/>
            <w:tcBorders>
              <w:top w:val="nil"/>
              <w:left w:val="single" w:sz="4" w:space="0" w:color="auto"/>
              <w:bottom w:val="nil"/>
              <w:right w:val="nil"/>
            </w:tcBorders>
            <w:noWrap/>
            <w:vAlign w:val="bottom"/>
          </w:tcPr>
          <w:p w:rsidR="00276E47" w:rsidRPr="00276E47" w:rsidRDefault="00276E47" w:rsidP="00F70915">
            <w:r w:rsidRPr="00276E47">
              <w:t>Ch of comm.</w:t>
            </w:r>
          </w:p>
        </w:tc>
        <w:tc>
          <w:tcPr>
            <w:tcW w:w="893" w:type="dxa"/>
            <w:tcBorders>
              <w:top w:val="nil"/>
              <w:left w:val="nil"/>
              <w:bottom w:val="nil"/>
              <w:right w:val="single" w:sz="4" w:space="0" w:color="auto"/>
            </w:tcBorders>
            <w:noWrap/>
            <w:vAlign w:val="bottom"/>
          </w:tcPr>
          <w:p w:rsidR="00276E47" w:rsidRPr="00276E47" w:rsidRDefault="00276E47" w:rsidP="00276E47">
            <w:pPr>
              <w:jc w:val="right"/>
            </w:pPr>
            <w:r w:rsidRPr="00276E47">
              <w:t>30</w:t>
            </w:r>
          </w:p>
        </w:tc>
      </w:tr>
      <w:tr w:rsidR="00276E47" w:rsidRPr="00276E47" w:rsidTr="00A26366">
        <w:trPr>
          <w:trHeight w:val="255"/>
        </w:trPr>
        <w:tc>
          <w:tcPr>
            <w:tcW w:w="3118" w:type="dxa"/>
            <w:tcBorders>
              <w:top w:val="nil"/>
              <w:left w:val="single" w:sz="4" w:space="0" w:color="auto"/>
              <w:bottom w:val="nil"/>
              <w:right w:val="nil"/>
            </w:tcBorders>
            <w:noWrap/>
            <w:vAlign w:val="bottom"/>
          </w:tcPr>
          <w:p w:rsidR="00276E47" w:rsidRPr="00A26366" w:rsidRDefault="000320CE" w:rsidP="00172040">
            <w:pPr>
              <w:jc w:val="left"/>
            </w:pPr>
            <w:r w:rsidRPr="00A26366">
              <w:t>Total</w:t>
            </w:r>
          </w:p>
        </w:tc>
        <w:tc>
          <w:tcPr>
            <w:tcW w:w="893" w:type="dxa"/>
            <w:tcBorders>
              <w:top w:val="single" w:sz="4" w:space="0" w:color="auto"/>
              <w:left w:val="nil"/>
              <w:bottom w:val="nil"/>
            </w:tcBorders>
            <w:noWrap/>
            <w:vAlign w:val="bottom"/>
          </w:tcPr>
          <w:p w:rsidR="00276E47" w:rsidRPr="00A26366" w:rsidRDefault="000320CE" w:rsidP="00276E47">
            <w:pPr>
              <w:jc w:val="right"/>
            </w:pPr>
            <w:r w:rsidRPr="00A26366">
              <w:rPr>
                <w:bCs/>
              </w:rPr>
              <w:t>52,500</w:t>
            </w:r>
          </w:p>
        </w:tc>
        <w:tc>
          <w:tcPr>
            <w:tcW w:w="241" w:type="dxa"/>
            <w:tcBorders>
              <w:top w:val="nil"/>
              <w:bottom w:val="nil"/>
              <w:right w:val="single" w:sz="4" w:space="0" w:color="auto"/>
            </w:tcBorders>
          </w:tcPr>
          <w:p w:rsidR="00276E47" w:rsidRPr="00276E47" w:rsidRDefault="00276E47" w:rsidP="00F70915"/>
        </w:tc>
        <w:tc>
          <w:tcPr>
            <w:tcW w:w="3119" w:type="dxa"/>
            <w:tcBorders>
              <w:top w:val="nil"/>
              <w:left w:val="single" w:sz="4" w:space="0" w:color="auto"/>
              <w:bottom w:val="nil"/>
              <w:right w:val="nil"/>
            </w:tcBorders>
            <w:noWrap/>
            <w:vAlign w:val="bottom"/>
          </w:tcPr>
          <w:p w:rsidR="00276E47" w:rsidRPr="00276E47" w:rsidRDefault="00276E47" w:rsidP="00F70915">
            <w:r w:rsidRPr="00276E47">
              <w:t>Printing</w:t>
            </w:r>
          </w:p>
        </w:tc>
        <w:tc>
          <w:tcPr>
            <w:tcW w:w="893" w:type="dxa"/>
            <w:tcBorders>
              <w:top w:val="nil"/>
              <w:left w:val="nil"/>
              <w:bottom w:val="nil"/>
              <w:right w:val="single" w:sz="4" w:space="0" w:color="auto"/>
            </w:tcBorders>
            <w:noWrap/>
            <w:vAlign w:val="bottom"/>
          </w:tcPr>
          <w:p w:rsidR="00276E47" w:rsidRPr="00276E47" w:rsidRDefault="00276E47" w:rsidP="00276E47">
            <w:pPr>
              <w:jc w:val="right"/>
            </w:pPr>
            <w:r w:rsidRPr="00276E47">
              <w:t>2</w:t>
            </w:r>
            <w:r w:rsidR="000320CE">
              <w:t>,</w:t>
            </w:r>
            <w:r w:rsidRPr="00276E47">
              <w:t>500</w:t>
            </w:r>
          </w:p>
        </w:tc>
      </w:tr>
      <w:tr w:rsidR="00276E47" w:rsidRPr="00276E47" w:rsidTr="00A26366">
        <w:trPr>
          <w:trHeight w:val="255"/>
        </w:trPr>
        <w:tc>
          <w:tcPr>
            <w:tcW w:w="3118" w:type="dxa"/>
            <w:tcBorders>
              <w:top w:val="nil"/>
              <w:left w:val="single" w:sz="4" w:space="0" w:color="auto"/>
              <w:bottom w:val="nil"/>
              <w:right w:val="nil"/>
            </w:tcBorders>
            <w:noWrap/>
            <w:vAlign w:val="bottom"/>
          </w:tcPr>
          <w:p w:rsidR="00276E47" w:rsidRPr="00276E47" w:rsidRDefault="00276E47" w:rsidP="00172040">
            <w:pPr>
              <w:jc w:val="left"/>
            </w:pPr>
          </w:p>
        </w:tc>
        <w:tc>
          <w:tcPr>
            <w:tcW w:w="893" w:type="dxa"/>
            <w:tcBorders>
              <w:top w:val="nil"/>
              <w:left w:val="nil"/>
              <w:bottom w:val="nil"/>
            </w:tcBorders>
            <w:noWrap/>
            <w:vAlign w:val="bottom"/>
          </w:tcPr>
          <w:p w:rsidR="00276E47" w:rsidRPr="00276E47" w:rsidRDefault="00276E47" w:rsidP="00276E47">
            <w:pPr>
              <w:jc w:val="right"/>
            </w:pPr>
          </w:p>
        </w:tc>
        <w:tc>
          <w:tcPr>
            <w:tcW w:w="241" w:type="dxa"/>
            <w:tcBorders>
              <w:top w:val="nil"/>
              <w:bottom w:val="nil"/>
              <w:right w:val="single" w:sz="4" w:space="0" w:color="auto"/>
            </w:tcBorders>
          </w:tcPr>
          <w:p w:rsidR="00276E47" w:rsidRPr="00276E47" w:rsidRDefault="00276E47" w:rsidP="00F70915"/>
        </w:tc>
        <w:tc>
          <w:tcPr>
            <w:tcW w:w="3119" w:type="dxa"/>
            <w:tcBorders>
              <w:top w:val="nil"/>
              <w:left w:val="single" w:sz="4" w:space="0" w:color="auto"/>
              <w:bottom w:val="nil"/>
              <w:right w:val="nil"/>
            </w:tcBorders>
            <w:noWrap/>
            <w:vAlign w:val="bottom"/>
          </w:tcPr>
          <w:p w:rsidR="00276E47" w:rsidRPr="00276E47" w:rsidRDefault="00276E47" w:rsidP="00F70915">
            <w:r w:rsidRPr="00276E47">
              <w:t>Secretariat</w:t>
            </w:r>
          </w:p>
        </w:tc>
        <w:tc>
          <w:tcPr>
            <w:tcW w:w="893" w:type="dxa"/>
            <w:tcBorders>
              <w:top w:val="nil"/>
              <w:left w:val="nil"/>
              <w:bottom w:val="nil"/>
              <w:right w:val="single" w:sz="4" w:space="0" w:color="auto"/>
            </w:tcBorders>
            <w:noWrap/>
            <w:vAlign w:val="bottom"/>
          </w:tcPr>
          <w:p w:rsidR="00276E47" w:rsidRPr="00276E47" w:rsidRDefault="00276E47" w:rsidP="00276E47">
            <w:pPr>
              <w:jc w:val="right"/>
            </w:pPr>
            <w:r w:rsidRPr="00276E47">
              <w:t>8</w:t>
            </w:r>
            <w:r w:rsidR="000320CE">
              <w:t>,</w:t>
            </w:r>
            <w:r w:rsidRPr="00276E47">
              <w:t>000</w:t>
            </w:r>
          </w:p>
        </w:tc>
      </w:tr>
      <w:tr w:rsidR="000320CE" w:rsidRPr="00276E47" w:rsidTr="00A26366">
        <w:trPr>
          <w:trHeight w:val="255"/>
        </w:trPr>
        <w:tc>
          <w:tcPr>
            <w:tcW w:w="3118" w:type="dxa"/>
            <w:tcBorders>
              <w:top w:val="nil"/>
              <w:left w:val="single" w:sz="4" w:space="0" w:color="auto"/>
              <w:bottom w:val="nil"/>
              <w:right w:val="nil"/>
            </w:tcBorders>
            <w:noWrap/>
            <w:vAlign w:val="bottom"/>
          </w:tcPr>
          <w:p w:rsidR="000320CE" w:rsidRPr="00276E47" w:rsidRDefault="000320CE" w:rsidP="00172040">
            <w:pPr>
              <w:jc w:val="left"/>
            </w:pPr>
          </w:p>
        </w:tc>
        <w:tc>
          <w:tcPr>
            <w:tcW w:w="893" w:type="dxa"/>
            <w:tcBorders>
              <w:top w:val="nil"/>
              <w:left w:val="nil"/>
              <w:bottom w:val="nil"/>
            </w:tcBorders>
            <w:noWrap/>
            <w:vAlign w:val="bottom"/>
          </w:tcPr>
          <w:p w:rsidR="000320CE" w:rsidRPr="00276E47" w:rsidRDefault="000320CE" w:rsidP="00276E47">
            <w:pPr>
              <w:jc w:val="right"/>
            </w:pPr>
          </w:p>
        </w:tc>
        <w:tc>
          <w:tcPr>
            <w:tcW w:w="241" w:type="dxa"/>
            <w:tcBorders>
              <w:top w:val="nil"/>
              <w:bottom w:val="nil"/>
              <w:right w:val="single" w:sz="4" w:space="0" w:color="auto"/>
            </w:tcBorders>
          </w:tcPr>
          <w:p w:rsidR="000320CE" w:rsidRPr="00276E47" w:rsidRDefault="000320CE" w:rsidP="00F70915"/>
        </w:tc>
        <w:tc>
          <w:tcPr>
            <w:tcW w:w="3119" w:type="dxa"/>
            <w:tcBorders>
              <w:top w:val="nil"/>
              <w:left w:val="single" w:sz="4" w:space="0" w:color="auto"/>
              <w:bottom w:val="nil"/>
              <w:right w:val="nil"/>
            </w:tcBorders>
            <w:noWrap/>
            <w:vAlign w:val="bottom"/>
          </w:tcPr>
          <w:p w:rsidR="000320CE" w:rsidRPr="00276E47" w:rsidRDefault="000320CE" w:rsidP="00F70915">
            <w:r>
              <w:t>Prices</w:t>
            </w:r>
          </w:p>
        </w:tc>
        <w:tc>
          <w:tcPr>
            <w:tcW w:w="893" w:type="dxa"/>
            <w:tcBorders>
              <w:top w:val="nil"/>
              <w:left w:val="nil"/>
              <w:bottom w:val="nil"/>
              <w:right w:val="single" w:sz="4" w:space="0" w:color="auto"/>
            </w:tcBorders>
            <w:noWrap/>
            <w:vAlign w:val="bottom"/>
          </w:tcPr>
          <w:p w:rsidR="000320CE" w:rsidRPr="00276E47" w:rsidRDefault="000320CE" w:rsidP="00276E47">
            <w:pPr>
              <w:jc w:val="right"/>
            </w:pPr>
            <w:r>
              <w:t>1,500</w:t>
            </w:r>
          </w:p>
        </w:tc>
      </w:tr>
      <w:tr w:rsidR="00276E47" w:rsidRPr="00276E47" w:rsidTr="00A26366">
        <w:trPr>
          <w:trHeight w:val="255"/>
        </w:trPr>
        <w:tc>
          <w:tcPr>
            <w:tcW w:w="3118" w:type="dxa"/>
            <w:tcBorders>
              <w:top w:val="nil"/>
              <w:left w:val="single" w:sz="4" w:space="0" w:color="auto"/>
              <w:bottom w:val="nil"/>
              <w:right w:val="nil"/>
            </w:tcBorders>
            <w:noWrap/>
            <w:vAlign w:val="bottom"/>
          </w:tcPr>
          <w:p w:rsidR="00276E47" w:rsidRPr="00276E47" w:rsidRDefault="00276E47" w:rsidP="00172040">
            <w:pPr>
              <w:jc w:val="left"/>
            </w:pPr>
          </w:p>
        </w:tc>
        <w:tc>
          <w:tcPr>
            <w:tcW w:w="893" w:type="dxa"/>
            <w:tcBorders>
              <w:top w:val="nil"/>
              <w:left w:val="nil"/>
              <w:bottom w:val="nil"/>
            </w:tcBorders>
            <w:noWrap/>
            <w:vAlign w:val="bottom"/>
          </w:tcPr>
          <w:p w:rsidR="00276E47" w:rsidRPr="00276E47" w:rsidRDefault="00276E47" w:rsidP="00276E47">
            <w:pPr>
              <w:jc w:val="right"/>
            </w:pPr>
          </w:p>
        </w:tc>
        <w:tc>
          <w:tcPr>
            <w:tcW w:w="241" w:type="dxa"/>
            <w:tcBorders>
              <w:top w:val="nil"/>
              <w:bottom w:val="nil"/>
              <w:right w:val="single" w:sz="4" w:space="0" w:color="auto"/>
            </w:tcBorders>
          </w:tcPr>
          <w:p w:rsidR="00276E47" w:rsidRPr="00276E47" w:rsidRDefault="00276E47" w:rsidP="00C1608B"/>
        </w:tc>
        <w:tc>
          <w:tcPr>
            <w:tcW w:w="3119" w:type="dxa"/>
            <w:tcBorders>
              <w:top w:val="nil"/>
              <w:left w:val="single" w:sz="4" w:space="0" w:color="auto"/>
              <w:bottom w:val="nil"/>
              <w:right w:val="nil"/>
            </w:tcBorders>
            <w:noWrap/>
            <w:vAlign w:val="bottom"/>
          </w:tcPr>
          <w:p w:rsidR="00276E47" w:rsidRPr="00276E47" w:rsidRDefault="00276E47" w:rsidP="00C1608B">
            <w:r w:rsidRPr="00276E47">
              <w:t>Conference</w:t>
            </w:r>
          </w:p>
        </w:tc>
        <w:tc>
          <w:tcPr>
            <w:tcW w:w="893" w:type="dxa"/>
            <w:tcBorders>
              <w:top w:val="nil"/>
              <w:left w:val="nil"/>
              <w:bottom w:val="nil"/>
              <w:right w:val="single" w:sz="4" w:space="0" w:color="auto"/>
            </w:tcBorders>
            <w:noWrap/>
            <w:vAlign w:val="bottom"/>
          </w:tcPr>
          <w:p w:rsidR="00276E47" w:rsidRPr="00276E47" w:rsidRDefault="000320CE" w:rsidP="00276E47">
            <w:pPr>
              <w:jc w:val="right"/>
            </w:pPr>
            <w:r>
              <w:t>18,</w:t>
            </w:r>
            <w:r w:rsidR="00276E47" w:rsidRPr="00276E47">
              <w:t>000</w:t>
            </w:r>
          </w:p>
        </w:tc>
      </w:tr>
      <w:tr w:rsidR="00276E47" w:rsidRPr="00276E47" w:rsidTr="00A26366">
        <w:trPr>
          <w:trHeight w:val="255"/>
        </w:trPr>
        <w:tc>
          <w:tcPr>
            <w:tcW w:w="3118" w:type="dxa"/>
            <w:tcBorders>
              <w:top w:val="nil"/>
              <w:left w:val="single" w:sz="4" w:space="0" w:color="auto"/>
              <w:bottom w:val="nil"/>
              <w:right w:val="nil"/>
            </w:tcBorders>
            <w:noWrap/>
            <w:vAlign w:val="bottom"/>
          </w:tcPr>
          <w:p w:rsidR="00276E47" w:rsidRPr="00276E47" w:rsidRDefault="00276E47" w:rsidP="00172040">
            <w:pPr>
              <w:jc w:val="left"/>
            </w:pPr>
          </w:p>
        </w:tc>
        <w:tc>
          <w:tcPr>
            <w:tcW w:w="893" w:type="dxa"/>
            <w:tcBorders>
              <w:top w:val="nil"/>
              <w:left w:val="nil"/>
              <w:bottom w:val="nil"/>
            </w:tcBorders>
            <w:noWrap/>
            <w:vAlign w:val="bottom"/>
          </w:tcPr>
          <w:p w:rsidR="00276E47" w:rsidRPr="00276E47" w:rsidRDefault="00276E47" w:rsidP="00276E47">
            <w:pPr>
              <w:jc w:val="right"/>
            </w:pPr>
          </w:p>
        </w:tc>
        <w:tc>
          <w:tcPr>
            <w:tcW w:w="241" w:type="dxa"/>
            <w:tcBorders>
              <w:top w:val="nil"/>
              <w:bottom w:val="nil"/>
              <w:right w:val="single" w:sz="4" w:space="0" w:color="auto"/>
            </w:tcBorders>
          </w:tcPr>
          <w:p w:rsidR="00276E47" w:rsidRPr="00276E47" w:rsidRDefault="00276E47" w:rsidP="00C1608B"/>
        </w:tc>
        <w:tc>
          <w:tcPr>
            <w:tcW w:w="3119" w:type="dxa"/>
            <w:tcBorders>
              <w:top w:val="nil"/>
              <w:left w:val="single" w:sz="4" w:space="0" w:color="auto"/>
              <w:bottom w:val="nil"/>
              <w:right w:val="nil"/>
            </w:tcBorders>
            <w:noWrap/>
            <w:vAlign w:val="bottom"/>
          </w:tcPr>
          <w:p w:rsidR="00276E47" w:rsidRPr="00276E47" w:rsidRDefault="00276E47" w:rsidP="00C1608B">
            <w:r w:rsidRPr="00276E47">
              <w:t>Journal</w:t>
            </w:r>
          </w:p>
        </w:tc>
        <w:tc>
          <w:tcPr>
            <w:tcW w:w="893" w:type="dxa"/>
            <w:tcBorders>
              <w:top w:val="nil"/>
              <w:left w:val="nil"/>
              <w:bottom w:val="nil"/>
              <w:right w:val="single" w:sz="4" w:space="0" w:color="auto"/>
            </w:tcBorders>
            <w:noWrap/>
            <w:vAlign w:val="bottom"/>
          </w:tcPr>
          <w:p w:rsidR="00276E47" w:rsidRPr="00276E47" w:rsidRDefault="000320CE" w:rsidP="00276E47">
            <w:pPr>
              <w:jc w:val="right"/>
            </w:pPr>
            <w:r>
              <w:t>14,</w:t>
            </w:r>
            <w:r w:rsidR="00276E47" w:rsidRPr="00276E47">
              <w:t>000</w:t>
            </w:r>
          </w:p>
        </w:tc>
      </w:tr>
      <w:tr w:rsidR="000320CE" w:rsidRPr="00276E47" w:rsidTr="00A26366">
        <w:trPr>
          <w:trHeight w:val="255"/>
        </w:trPr>
        <w:tc>
          <w:tcPr>
            <w:tcW w:w="3118" w:type="dxa"/>
            <w:tcBorders>
              <w:top w:val="nil"/>
              <w:left w:val="single" w:sz="4" w:space="0" w:color="auto"/>
              <w:bottom w:val="nil"/>
              <w:right w:val="nil"/>
            </w:tcBorders>
            <w:noWrap/>
            <w:vAlign w:val="bottom"/>
          </w:tcPr>
          <w:p w:rsidR="000320CE" w:rsidRPr="00276E47" w:rsidRDefault="000320CE" w:rsidP="00172040">
            <w:pPr>
              <w:jc w:val="left"/>
            </w:pPr>
          </w:p>
        </w:tc>
        <w:tc>
          <w:tcPr>
            <w:tcW w:w="893" w:type="dxa"/>
            <w:tcBorders>
              <w:top w:val="nil"/>
              <w:left w:val="nil"/>
              <w:bottom w:val="nil"/>
            </w:tcBorders>
            <w:noWrap/>
            <w:vAlign w:val="bottom"/>
          </w:tcPr>
          <w:p w:rsidR="000320CE" w:rsidRPr="00276E47" w:rsidRDefault="000320CE" w:rsidP="00276E47">
            <w:pPr>
              <w:jc w:val="right"/>
            </w:pPr>
          </w:p>
        </w:tc>
        <w:tc>
          <w:tcPr>
            <w:tcW w:w="241" w:type="dxa"/>
            <w:tcBorders>
              <w:top w:val="nil"/>
              <w:bottom w:val="nil"/>
              <w:right w:val="single" w:sz="4" w:space="0" w:color="auto"/>
            </w:tcBorders>
          </w:tcPr>
          <w:p w:rsidR="000320CE" w:rsidRPr="00276E47" w:rsidRDefault="000320CE" w:rsidP="00C1608B"/>
        </w:tc>
        <w:tc>
          <w:tcPr>
            <w:tcW w:w="3119" w:type="dxa"/>
            <w:tcBorders>
              <w:top w:val="nil"/>
              <w:left w:val="single" w:sz="4" w:space="0" w:color="auto"/>
              <w:bottom w:val="nil"/>
              <w:right w:val="nil"/>
            </w:tcBorders>
            <w:noWrap/>
            <w:vAlign w:val="bottom"/>
          </w:tcPr>
          <w:p w:rsidR="000320CE" w:rsidRPr="00276E47" w:rsidRDefault="000320CE" w:rsidP="00C1608B">
            <w:r>
              <w:t>Treasury</w:t>
            </w:r>
          </w:p>
        </w:tc>
        <w:tc>
          <w:tcPr>
            <w:tcW w:w="893" w:type="dxa"/>
            <w:tcBorders>
              <w:top w:val="nil"/>
              <w:left w:val="nil"/>
              <w:bottom w:val="nil"/>
              <w:right w:val="single" w:sz="4" w:space="0" w:color="auto"/>
            </w:tcBorders>
            <w:noWrap/>
            <w:vAlign w:val="bottom"/>
          </w:tcPr>
          <w:p w:rsidR="000320CE" w:rsidRDefault="000320CE" w:rsidP="00276E47">
            <w:pPr>
              <w:jc w:val="right"/>
            </w:pPr>
            <w:r>
              <w:t>3,000</w:t>
            </w:r>
          </w:p>
        </w:tc>
      </w:tr>
      <w:tr w:rsidR="00276E47" w:rsidRPr="00276E47" w:rsidTr="00A26366">
        <w:trPr>
          <w:trHeight w:val="255"/>
        </w:trPr>
        <w:tc>
          <w:tcPr>
            <w:tcW w:w="3118" w:type="dxa"/>
            <w:tcBorders>
              <w:top w:val="nil"/>
              <w:left w:val="single" w:sz="4" w:space="0" w:color="auto"/>
              <w:bottom w:val="nil"/>
              <w:right w:val="nil"/>
            </w:tcBorders>
            <w:noWrap/>
            <w:vAlign w:val="bottom"/>
          </w:tcPr>
          <w:p w:rsidR="00276E47" w:rsidRPr="00276E47" w:rsidRDefault="00276E47" w:rsidP="00172040">
            <w:pPr>
              <w:jc w:val="left"/>
            </w:pPr>
          </w:p>
        </w:tc>
        <w:tc>
          <w:tcPr>
            <w:tcW w:w="893" w:type="dxa"/>
            <w:tcBorders>
              <w:top w:val="nil"/>
              <w:left w:val="nil"/>
              <w:bottom w:val="nil"/>
            </w:tcBorders>
            <w:noWrap/>
            <w:vAlign w:val="bottom"/>
          </w:tcPr>
          <w:p w:rsidR="00276E47" w:rsidRPr="00276E47" w:rsidRDefault="00276E47" w:rsidP="00276E47">
            <w:pPr>
              <w:jc w:val="right"/>
            </w:pPr>
          </w:p>
        </w:tc>
        <w:tc>
          <w:tcPr>
            <w:tcW w:w="241" w:type="dxa"/>
            <w:tcBorders>
              <w:top w:val="nil"/>
              <w:bottom w:val="nil"/>
              <w:right w:val="single" w:sz="4" w:space="0" w:color="auto"/>
            </w:tcBorders>
          </w:tcPr>
          <w:p w:rsidR="00276E47" w:rsidRPr="00276E47" w:rsidRDefault="00276E47" w:rsidP="00C1608B"/>
        </w:tc>
        <w:tc>
          <w:tcPr>
            <w:tcW w:w="3119" w:type="dxa"/>
            <w:tcBorders>
              <w:top w:val="nil"/>
              <w:left w:val="single" w:sz="4" w:space="0" w:color="auto"/>
              <w:bottom w:val="nil"/>
              <w:right w:val="nil"/>
            </w:tcBorders>
            <w:noWrap/>
            <w:vAlign w:val="bottom"/>
          </w:tcPr>
          <w:p w:rsidR="00276E47" w:rsidRPr="00276E47" w:rsidRDefault="00276E47" w:rsidP="00C1608B">
            <w:r w:rsidRPr="00276E47">
              <w:t>Board costs</w:t>
            </w:r>
          </w:p>
        </w:tc>
        <w:tc>
          <w:tcPr>
            <w:tcW w:w="893" w:type="dxa"/>
            <w:tcBorders>
              <w:top w:val="nil"/>
              <w:left w:val="nil"/>
              <w:right w:val="single" w:sz="4" w:space="0" w:color="auto"/>
            </w:tcBorders>
            <w:noWrap/>
            <w:vAlign w:val="bottom"/>
          </w:tcPr>
          <w:p w:rsidR="00276E47" w:rsidRPr="00276E47" w:rsidRDefault="000320CE" w:rsidP="00276E47">
            <w:pPr>
              <w:jc w:val="right"/>
            </w:pPr>
            <w:r>
              <w:t>2,5</w:t>
            </w:r>
            <w:r w:rsidR="00276E47" w:rsidRPr="00276E47">
              <w:t>00</w:t>
            </w:r>
          </w:p>
        </w:tc>
      </w:tr>
      <w:tr w:rsidR="000320CE" w:rsidRPr="00276E47" w:rsidTr="00A26366">
        <w:trPr>
          <w:trHeight w:val="255"/>
        </w:trPr>
        <w:tc>
          <w:tcPr>
            <w:tcW w:w="3118" w:type="dxa"/>
            <w:tcBorders>
              <w:top w:val="nil"/>
              <w:left w:val="single" w:sz="4" w:space="0" w:color="auto"/>
              <w:bottom w:val="nil"/>
              <w:right w:val="nil"/>
            </w:tcBorders>
            <w:noWrap/>
            <w:vAlign w:val="bottom"/>
          </w:tcPr>
          <w:p w:rsidR="000320CE" w:rsidRPr="00276E47" w:rsidRDefault="000320CE" w:rsidP="00172040">
            <w:pPr>
              <w:jc w:val="left"/>
            </w:pPr>
          </w:p>
        </w:tc>
        <w:tc>
          <w:tcPr>
            <w:tcW w:w="893" w:type="dxa"/>
            <w:tcBorders>
              <w:top w:val="nil"/>
              <w:left w:val="nil"/>
              <w:bottom w:val="nil"/>
            </w:tcBorders>
            <w:noWrap/>
            <w:vAlign w:val="bottom"/>
          </w:tcPr>
          <w:p w:rsidR="000320CE" w:rsidRPr="00276E47" w:rsidRDefault="000320CE" w:rsidP="00276E47">
            <w:pPr>
              <w:jc w:val="right"/>
            </w:pPr>
          </w:p>
        </w:tc>
        <w:tc>
          <w:tcPr>
            <w:tcW w:w="241" w:type="dxa"/>
            <w:tcBorders>
              <w:top w:val="nil"/>
              <w:bottom w:val="nil"/>
              <w:right w:val="single" w:sz="4" w:space="0" w:color="auto"/>
            </w:tcBorders>
          </w:tcPr>
          <w:p w:rsidR="000320CE" w:rsidRPr="00276E47" w:rsidRDefault="000320CE" w:rsidP="00C1608B"/>
        </w:tc>
        <w:tc>
          <w:tcPr>
            <w:tcW w:w="3119" w:type="dxa"/>
            <w:tcBorders>
              <w:top w:val="nil"/>
              <w:left w:val="single" w:sz="4" w:space="0" w:color="auto"/>
              <w:bottom w:val="nil"/>
              <w:right w:val="nil"/>
            </w:tcBorders>
            <w:noWrap/>
            <w:vAlign w:val="bottom"/>
          </w:tcPr>
          <w:p w:rsidR="000320CE" w:rsidRPr="00276E47" w:rsidRDefault="000320CE" w:rsidP="00C1608B">
            <w:r>
              <w:t>ESPMH homepage</w:t>
            </w:r>
          </w:p>
        </w:tc>
        <w:tc>
          <w:tcPr>
            <w:tcW w:w="893" w:type="dxa"/>
            <w:tcBorders>
              <w:top w:val="nil"/>
              <w:left w:val="nil"/>
              <w:right w:val="single" w:sz="4" w:space="0" w:color="auto"/>
            </w:tcBorders>
            <w:noWrap/>
            <w:vAlign w:val="bottom"/>
          </w:tcPr>
          <w:p w:rsidR="000320CE" w:rsidRDefault="000320CE" w:rsidP="00276E47">
            <w:pPr>
              <w:jc w:val="right"/>
            </w:pPr>
            <w:r>
              <w:t>1,200</w:t>
            </w:r>
          </w:p>
        </w:tc>
      </w:tr>
      <w:tr w:rsidR="00A26366" w:rsidRPr="00276E47" w:rsidTr="00A26366">
        <w:trPr>
          <w:trHeight w:val="255"/>
        </w:trPr>
        <w:tc>
          <w:tcPr>
            <w:tcW w:w="3118" w:type="dxa"/>
            <w:tcBorders>
              <w:top w:val="single" w:sz="4" w:space="0" w:color="auto"/>
              <w:left w:val="single" w:sz="4" w:space="0" w:color="auto"/>
              <w:bottom w:val="single" w:sz="4" w:space="0" w:color="auto"/>
              <w:right w:val="nil"/>
            </w:tcBorders>
            <w:noWrap/>
            <w:vAlign w:val="bottom"/>
          </w:tcPr>
          <w:p w:rsidR="00A26366" w:rsidRPr="008F517D" w:rsidRDefault="008F517D" w:rsidP="00A73E80">
            <w:pPr>
              <w:rPr>
                <w:b/>
                <w:bCs/>
              </w:rPr>
            </w:pPr>
            <w:proofErr w:type="spellStart"/>
            <w:r w:rsidRPr="008F517D">
              <w:rPr>
                <w:b/>
                <w:bCs/>
              </w:rPr>
              <w:t>Neg</w:t>
            </w:r>
            <w:proofErr w:type="spellEnd"/>
            <w:r w:rsidR="00A26366" w:rsidRPr="008F517D">
              <w:rPr>
                <w:b/>
                <w:bCs/>
              </w:rPr>
              <w:t xml:space="preserve"> </w:t>
            </w:r>
            <w:proofErr w:type="spellStart"/>
            <w:r w:rsidR="00A26366" w:rsidRPr="008F517D">
              <w:rPr>
                <w:b/>
                <w:bCs/>
              </w:rPr>
              <w:t>saldo</w:t>
            </w:r>
            <w:proofErr w:type="spellEnd"/>
          </w:p>
        </w:tc>
        <w:tc>
          <w:tcPr>
            <w:tcW w:w="893" w:type="dxa"/>
            <w:tcBorders>
              <w:top w:val="single" w:sz="4" w:space="0" w:color="auto"/>
              <w:left w:val="nil"/>
              <w:bottom w:val="single" w:sz="4" w:space="0" w:color="auto"/>
            </w:tcBorders>
            <w:noWrap/>
            <w:vAlign w:val="center"/>
          </w:tcPr>
          <w:p w:rsidR="00A26366" w:rsidRPr="00276E47" w:rsidRDefault="00A26366" w:rsidP="00276E47">
            <w:pPr>
              <w:jc w:val="right"/>
              <w:rPr>
                <w:b/>
                <w:bCs/>
              </w:rPr>
            </w:pPr>
            <w:r>
              <w:rPr>
                <w:b/>
                <w:bCs/>
              </w:rPr>
              <w:t>30</w:t>
            </w:r>
          </w:p>
        </w:tc>
        <w:tc>
          <w:tcPr>
            <w:tcW w:w="241" w:type="dxa"/>
            <w:tcBorders>
              <w:top w:val="single" w:sz="4" w:space="0" w:color="auto"/>
              <w:bottom w:val="single" w:sz="4" w:space="0" w:color="auto"/>
              <w:right w:val="single" w:sz="4" w:space="0" w:color="auto"/>
            </w:tcBorders>
          </w:tcPr>
          <w:p w:rsidR="00A26366" w:rsidRPr="00276E47" w:rsidRDefault="00A26366" w:rsidP="00F70915">
            <w:pPr>
              <w:rPr>
                <w:b/>
                <w:bCs/>
              </w:rPr>
            </w:pPr>
          </w:p>
        </w:tc>
        <w:tc>
          <w:tcPr>
            <w:tcW w:w="3119" w:type="dxa"/>
            <w:tcBorders>
              <w:left w:val="single" w:sz="4" w:space="0" w:color="auto"/>
              <w:bottom w:val="single" w:sz="4" w:space="0" w:color="auto"/>
              <w:right w:val="nil"/>
            </w:tcBorders>
            <w:noWrap/>
            <w:vAlign w:val="bottom"/>
          </w:tcPr>
          <w:p w:rsidR="00A26366" w:rsidRPr="00276E47" w:rsidRDefault="00A26366" w:rsidP="00A73E80">
            <w:pPr>
              <w:jc w:val="right"/>
              <w:rPr>
                <w:b/>
                <w:bCs/>
              </w:rPr>
            </w:pPr>
          </w:p>
        </w:tc>
        <w:tc>
          <w:tcPr>
            <w:tcW w:w="893" w:type="dxa"/>
            <w:tcBorders>
              <w:left w:val="nil"/>
              <w:bottom w:val="single" w:sz="4" w:space="0" w:color="auto"/>
              <w:right w:val="single" w:sz="4" w:space="0" w:color="auto"/>
            </w:tcBorders>
            <w:noWrap/>
            <w:vAlign w:val="bottom"/>
          </w:tcPr>
          <w:p w:rsidR="00A26366" w:rsidRPr="00276E47" w:rsidRDefault="00A26366" w:rsidP="00276E47">
            <w:pPr>
              <w:jc w:val="right"/>
              <w:rPr>
                <w:b/>
                <w:bCs/>
              </w:rPr>
            </w:pPr>
          </w:p>
        </w:tc>
      </w:tr>
      <w:tr w:rsidR="00A26366" w:rsidRPr="00276E47" w:rsidTr="00A26366">
        <w:trPr>
          <w:trHeight w:val="68"/>
        </w:trPr>
        <w:tc>
          <w:tcPr>
            <w:tcW w:w="3118" w:type="dxa"/>
            <w:tcBorders>
              <w:top w:val="single" w:sz="4" w:space="0" w:color="auto"/>
              <w:left w:val="single" w:sz="4" w:space="0" w:color="auto"/>
              <w:bottom w:val="single" w:sz="4" w:space="0" w:color="auto"/>
              <w:right w:val="nil"/>
            </w:tcBorders>
            <w:noWrap/>
            <w:vAlign w:val="center"/>
          </w:tcPr>
          <w:p w:rsidR="00A26366" w:rsidRPr="00276E47" w:rsidRDefault="00A26366" w:rsidP="00172040">
            <w:pPr>
              <w:jc w:val="left"/>
            </w:pPr>
            <w:r w:rsidRPr="00276E47">
              <w:rPr>
                <w:b/>
                <w:bCs/>
              </w:rPr>
              <w:t>Totals</w:t>
            </w:r>
          </w:p>
        </w:tc>
        <w:tc>
          <w:tcPr>
            <w:tcW w:w="893" w:type="dxa"/>
            <w:tcBorders>
              <w:top w:val="single" w:sz="4" w:space="0" w:color="auto"/>
              <w:left w:val="nil"/>
              <w:bottom w:val="single" w:sz="4" w:space="0" w:color="auto"/>
            </w:tcBorders>
            <w:noWrap/>
            <w:vAlign w:val="center"/>
          </w:tcPr>
          <w:p w:rsidR="00A26366" w:rsidRPr="00276E47" w:rsidRDefault="00A26366" w:rsidP="00A26366">
            <w:pPr>
              <w:jc w:val="right"/>
              <w:rPr>
                <w:b/>
                <w:bCs/>
              </w:rPr>
            </w:pPr>
            <w:r>
              <w:rPr>
                <w:b/>
                <w:bCs/>
              </w:rPr>
              <w:t>52,530</w:t>
            </w:r>
            <w:r w:rsidR="00A73E80">
              <w:rPr>
                <w:b/>
                <w:bCs/>
              </w:rPr>
              <w:t xml:space="preserve"> </w:t>
            </w:r>
          </w:p>
        </w:tc>
        <w:tc>
          <w:tcPr>
            <w:tcW w:w="241" w:type="dxa"/>
            <w:tcBorders>
              <w:top w:val="single" w:sz="4" w:space="0" w:color="auto"/>
              <w:bottom w:val="single" w:sz="4" w:space="0" w:color="auto"/>
              <w:right w:val="single" w:sz="4" w:space="0" w:color="auto"/>
            </w:tcBorders>
          </w:tcPr>
          <w:p w:rsidR="00A26366" w:rsidRPr="00276E47" w:rsidRDefault="00A26366" w:rsidP="00F70915">
            <w:pPr>
              <w:rPr>
                <w:b/>
                <w:bCs/>
              </w:rPr>
            </w:pPr>
          </w:p>
        </w:tc>
        <w:tc>
          <w:tcPr>
            <w:tcW w:w="3119" w:type="dxa"/>
            <w:tcBorders>
              <w:top w:val="single" w:sz="4" w:space="0" w:color="auto"/>
              <w:left w:val="single" w:sz="4" w:space="0" w:color="auto"/>
              <w:bottom w:val="single" w:sz="4" w:space="0" w:color="auto"/>
              <w:right w:val="nil"/>
            </w:tcBorders>
            <w:noWrap/>
            <w:vAlign w:val="bottom"/>
          </w:tcPr>
          <w:p w:rsidR="00A26366" w:rsidRPr="00276E47" w:rsidRDefault="00A26366" w:rsidP="00F70915">
            <w:pPr>
              <w:rPr>
                <w:b/>
                <w:bCs/>
              </w:rPr>
            </w:pPr>
          </w:p>
        </w:tc>
        <w:tc>
          <w:tcPr>
            <w:tcW w:w="893" w:type="dxa"/>
            <w:tcBorders>
              <w:top w:val="single" w:sz="4" w:space="0" w:color="auto"/>
              <w:left w:val="nil"/>
              <w:bottom w:val="single" w:sz="4" w:space="0" w:color="auto"/>
              <w:right w:val="single" w:sz="4" w:space="0" w:color="auto"/>
            </w:tcBorders>
            <w:noWrap/>
            <w:vAlign w:val="center"/>
          </w:tcPr>
          <w:p w:rsidR="00A26366" w:rsidRPr="00276E47" w:rsidRDefault="00A26366" w:rsidP="00A26366">
            <w:pPr>
              <w:jc w:val="right"/>
              <w:rPr>
                <w:b/>
                <w:bCs/>
              </w:rPr>
            </w:pPr>
            <w:r>
              <w:rPr>
                <w:b/>
                <w:bCs/>
              </w:rPr>
              <w:t>52,530</w:t>
            </w:r>
          </w:p>
        </w:tc>
      </w:tr>
    </w:tbl>
    <w:p w:rsidR="00A123CF" w:rsidRPr="00276E47" w:rsidRDefault="00A123CF" w:rsidP="00F70915">
      <w:pPr>
        <w:rPr>
          <w:highlight w:val="yellow"/>
        </w:rPr>
      </w:pPr>
    </w:p>
    <w:p w:rsidR="00B62BE2" w:rsidRPr="00A123CF" w:rsidRDefault="00B62BE2" w:rsidP="00515F28">
      <w:pPr>
        <w:ind w:left="360"/>
      </w:pPr>
      <w:r w:rsidRPr="00276E47">
        <w:t xml:space="preserve">The budget proposal </w:t>
      </w:r>
      <w:r w:rsidR="00077CA0">
        <w:t>is</w:t>
      </w:r>
      <w:r w:rsidRPr="00276E47">
        <w:t xml:space="preserve"> approved by the General Assembly.</w:t>
      </w:r>
      <w:r w:rsidRPr="00A123CF">
        <w:t xml:space="preserve"> </w:t>
      </w:r>
    </w:p>
    <w:p w:rsidR="00B62BE2" w:rsidRDefault="00B62BE2" w:rsidP="00F70915"/>
    <w:p w:rsidR="00A123CF" w:rsidRPr="00A123CF" w:rsidRDefault="00A123CF" w:rsidP="00F70915"/>
    <w:p w:rsidR="00B62BE2" w:rsidRDefault="00B62BE2" w:rsidP="00745DE3">
      <w:pPr>
        <w:numPr>
          <w:ilvl w:val="0"/>
          <w:numId w:val="1"/>
        </w:numPr>
        <w:rPr>
          <w:b/>
          <w:bCs/>
        </w:rPr>
      </w:pPr>
      <w:r w:rsidRPr="00A123CF">
        <w:rPr>
          <w:b/>
          <w:bCs/>
        </w:rPr>
        <w:t>Election Members of the ESPMH Board</w:t>
      </w:r>
    </w:p>
    <w:p w:rsidR="00C6672F" w:rsidRPr="00A123CF" w:rsidRDefault="00C6672F" w:rsidP="00C6672F">
      <w:pPr>
        <w:ind w:left="360"/>
        <w:rPr>
          <w:b/>
          <w:bCs/>
        </w:rPr>
      </w:pPr>
    </w:p>
    <w:p w:rsidR="002967F9" w:rsidRPr="00625F6D" w:rsidRDefault="002967F9" w:rsidP="00515F28">
      <w:pPr>
        <w:ind w:left="360"/>
      </w:pPr>
      <w:r w:rsidRPr="00625F6D">
        <w:t>T</w:t>
      </w:r>
      <w:r w:rsidRPr="001F4C8D">
        <w:t>he three-year term of office of five Board members will finish by the end of 2013 (</w:t>
      </w:r>
      <w:proofErr w:type="spellStart"/>
      <w:r w:rsidRPr="001F4C8D">
        <w:t>Tuija</w:t>
      </w:r>
      <w:proofErr w:type="spellEnd"/>
      <w:r w:rsidRPr="001F4C8D">
        <w:t xml:space="preserve"> </w:t>
      </w:r>
      <w:proofErr w:type="spellStart"/>
      <w:r w:rsidRPr="001F4C8D">
        <w:t>Takala</w:t>
      </w:r>
      <w:proofErr w:type="spellEnd"/>
      <w:r w:rsidRPr="001F4C8D">
        <w:t xml:space="preserve">, Roberto </w:t>
      </w:r>
      <w:proofErr w:type="spellStart"/>
      <w:r w:rsidRPr="001F4C8D">
        <w:t>Andorno</w:t>
      </w:r>
      <w:proofErr w:type="spellEnd"/>
      <w:r w:rsidRPr="001F4C8D">
        <w:t xml:space="preserve">, </w:t>
      </w:r>
      <w:proofErr w:type="spellStart"/>
      <w:r w:rsidRPr="001F4C8D">
        <w:t>Renzo</w:t>
      </w:r>
      <w:proofErr w:type="spellEnd"/>
      <w:r w:rsidRPr="001F4C8D">
        <w:t xml:space="preserve"> </w:t>
      </w:r>
      <w:proofErr w:type="spellStart"/>
      <w:r w:rsidRPr="001F4C8D">
        <w:t>Pegoraro</w:t>
      </w:r>
      <w:proofErr w:type="spellEnd"/>
      <w:r w:rsidRPr="001F4C8D">
        <w:t xml:space="preserve">, Margaret </w:t>
      </w:r>
      <w:proofErr w:type="spellStart"/>
      <w:r w:rsidRPr="001F4C8D">
        <w:t>Battin</w:t>
      </w:r>
      <w:proofErr w:type="spellEnd"/>
      <w:r w:rsidRPr="001F4C8D">
        <w:t xml:space="preserve"> and Niall Scott). According to the By-Laws, Roberto </w:t>
      </w:r>
      <w:proofErr w:type="spellStart"/>
      <w:r w:rsidRPr="001F4C8D">
        <w:t>Andorno</w:t>
      </w:r>
      <w:proofErr w:type="spellEnd"/>
      <w:r w:rsidRPr="001F4C8D">
        <w:t xml:space="preserve"> (now president-elect) will follow up </w:t>
      </w:r>
      <w:proofErr w:type="spellStart"/>
      <w:r w:rsidRPr="001F4C8D">
        <w:t>Tuija</w:t>
      </w:r>
      <w:proofErr w:type="spellEnd"/>
      <w:r w:rsidRPr="001F4C8D">
        <w:t xml:space="preserve"> </w:t>
      </w:r>
      <w:proofErr w:type="spellStart"/>
      <w:r w:rsidRPr="001F4C8D">
        <w:t>Takala</w:t>
      </w:r>
      <w:proofErr w:type="spellEnd"/>
      <w:r w:rsidRPr="001F4C8D">
        <w:t xml:space="preserve"> as president of the ESPMH. This means that four board</w:t>
      </w:r>
      <w:r w:rsidRPr="00625F6D">
        <w:t xml:space="preserve"> positions, </w:t>
      </w:r>
      <w:r w:rsidRPr="001F4C8D">
        <w:t>the positio</w:t>
      </w:r>
      <w:r w:rsidRPr="00625F6D">
        <w:t xml:space="preserve">n of president-elect and </w:t>
      </w:r>
      <w:r w:rsidRPr="001F4C8D">
        <w:t>three positions of regular board member</w:t>
      </w:r>
      <w:r w:rsidRPr="00625F6D">
        <w:t xml:space="preserve">, </w:t>
      </w:r>
      <w:r>
        <w:t>are</w:t>
      </w:r>
      <w:r w:rsidRPr="001F4C8D">
        <w:t xml:space="preserve"> up for elect</w:t>
      </w:r>
      <w:r>
        <w:t>ion during the General Assembly</w:t>
      </w:r>
      <w:r w:rsidRPr="00625F6D">
        <w:t>.</w:t>
      </w:r>
    </w:p>
    <w:p w:rsidR="002967F9" w:rsidRPr="00625F6D" w:rsidRDefault="002967F9" w:rsidP="002967F9"/>
    <w:p w:rsidR="002967F9" w:rsidRPr="00625F6D" w:rsidRDefault="002967F9" w:rsidP="00515F28">
      <w:pPr>
        <w:autoSpaceDE w:val="0"/>
        <w:autoSpaceDN w:val="0"/>
        <w:adjustRightInd w:val="0"/>
        <w:ind w:left="360"/>
      </w:pPr>
      <w:r w:rsidRPr="005956B0">
        <w:t xml:space="preserve">In </w:t>
      </w:r>
      <w:r>
        <w:t>an</w:t>
      </w:r>
      <w:r w:rsidRPr="005956B0">
        <w:t xml:space="preserve"> email from 11 December 2012 </w:t>
      </w:r>
      <w:r>
        <w:t>the ESPMH secretary has</w:t>
      </w:r>
      <w:r w:rsidRPr="005956B0">
        <w:t xml:space="preserve"> invited </w:t>
      </w:r>
      <w:r>
        <w:t xml:space="preserve">ESPMH members </w:t>
      </w:r>
      <w:r w:rsidRPr="005956B0">
        <w:t xml:space="preserve">to nominate candidates for positions in the Board of the ESPMH. Subsequent to the invitation to propose candidates for these four positions, we received a nomination for the position of President-Elect: </w:t>
      </w:r>
      <w:proofErr w:type="spellStart"/>
      <w:r w:rsidRPr="005956B0">
        <w:t>Christoph</w:t>
      </w:r>
      <w:proofErr w:type="spellEnd"/>
      <w:r w:rsidRPr="005956B0">
        <w:t xml:space="preserve"> </w:t>
      </w:r>
      <w:proofErr w:type="spellStart"/>
      <w:r w:rsidRPr="005956B0">
        <w:t>Rehmann</w:t>
      </w:r>
      <w:proofErr w:type="spellEnd"/>
      <w:r w:rsidRPr="005956B0">
        <w:t>-Sutter. In addition, we received seven nominations for the po</w:t>
      </w:r>
      <w:r>
        <w:t>sition of regular board member</w:t>
      </w:r>
      <w:r w:rsidRPr="005956B0">
        <w:t xml:space="preserve">. Subsequently, however, two candidates have withdrawn, leaving us with the following five candidates: Ana </w:t>
      </w:r>
      <w:proofErr w:type="spellStart"/>
      <w:r w:rsidRPr="005956B0">
        <w:t>Borovecki</w:t>
      </w:r>
      <w:proofErr w:type="spellEnd"/>
      <w:r w:rsidRPr="005956B0">
        <w:t xml:space="preserve">, </w:t>
      </w:r>
      <w:proofErr w:type="spellStart"/>
      <w:r w:rsidRPr="005956B0">
        <w:t>Lazare</w:t>
      </w:r>
      <w:proofErr w:type="spellEnd"/>
      <w:r w:rsidRPr="005956B0">
        <w:t xml:space="preserve"> </w:t>
      </w:r>
      <w:proofErr w:type="spellStart"/>
      <w:r w:rsidRPr="005956B0">
        <w:t>Benaroyo</w:t>
      </w:r>
      <w:proofErr w:type="spellEnd"/>
      <w:r w:rsidRPr="005956B0">
        <w:t xml:space="preserve">, Bernice </w:t>
      </w:r>
      <w:proofErr w:type="spellStart"/>
      <w:r w:rsidRPr="005956B0">
        <w:t>Elger</w:t>
      </w:r>
      <w:proofErr w:type="spellEnd"/>
      <w:r w:rsidRPr="005956B0">
        <w:t xml:space="preserve">, </w:t>
      </w:r>
      <w:proofErr w:type="spellStart"/>
      <w:r w:rsidRPr="005956B0">
        <w:t>Frida</w:t>
      </w:r>
      <w:proofErr w:type="spellEnd"/>
      <w:r w:rsidRPr="005956B0">
        <w:t xml:space="preserve"> </w:t>
      </w:r>
      <w:proofErr w:type="spellStart"/>
      <w:r w:rsidRPr="005956B0">
        <w:t>Simonstein</w:t>
      </w:r>
      <w:proofErr w:type="spellEnd"/>
      <w:r w:rsidRPr="005956B0">
        <w:t xml:space="preserve">, and </w:t>
      </w:r>
      <w:proofErr w:type="spellStart"/>
      <w:r w:rsidRPr="005956B0">
        <w:t>Yesim</w:t>
      </w:r>
      <w:proofErr w:type="spellEnd"/>
      <w:r w:rsidRPr="005956B0">
        <w:t xml:space="preserve"> </w:t>
      </w:r>
      <w:proofErr w:type="spellStart"/>
      <w:r w:rsidRPr="005956B0">
        <w:t>Ulman</w:t>
      </w:r>
      <w:proofErr w:type="spellEnd"/>
      <w:r w:rsidRPr="005956B0">
        <w:t>.</w:t>
      </w:r>
    </w:p>
    <w:p w:rsidR="002967F9" w:rsidRPr="00625F6D" w:rsidRDefault="002967F9" w:rsidP="002967F9">
      <w:pPr>
        <w:autoSpaceDE w:val="0"/>
        <w:autoSpaceDN w:val="0"/>
        <w:adjustRightInd w:val="0"/>
      </w:pPr>
    </w:p>
    <w:p w:rsidR="002967F9" w:rsidRDefault="002967F9" w:rsidP="00515F28">
      <w:pPr>
        <w:autoSpaceDE w:val="0"/>
        <w:autoSpaceDN w:val="0"/>
        <w:adjustRightInd w:val="0"/>
        <w:ind w:left="360"/>
      </w:pPr>
      <w:r w:rsidRPr="00625F6D">
        <w:t>Thus, the Board’s election proposal is as follows:</w:t>
      </w:r>
    </w:p>
    <w:p w:rsidR="002967F9" w:rsidRPr="00625F6D" w:rsidRDefault="002967F9" w:rsidP="00515F28">
      <w:pPr>
        <w:autoSpaceDE w:val="0"/>
        <w:autoSpaceDN w:val="0"/>
        <w:adjustRightInd w:val="0"/>
        <w:ind w:left="360"/>
      </w:pPr>
    </w:p>
    <w:p w:rsidR="002967F9" w:rsidRPr="00625F6D" w:rsidRDefault="002967F9" w:rsidP="00515F28">
      <w:pPr>
        <w:autoSpaceDE w:val="0"/>
        <w:autoSpaceDN w:val="0"/>
        <w:adjustRightInd w:val="0"/>
        <w:ind w:left="360"/>
      </w:pPr>
      <w:r w:rsidRPr="001F4C8D">
        <w:rPr>
          <w:b/>
        </w:rPr>
        <w:t>President-Elect of the ESPMH</w:t>
      </w:r>
      <w:r w:rsidRPr="00625F6D">
        <w:t xml:space="preserve">: </w:t>
      </w:r>
      <w:proofErr w:type="spellStart"/>
      <w:r w:rsidRPr="00625F6D">
        <w:t>Christoph</w:t>
      </w:r>
      <w:proofErr w:type="spellEnd"/>
      <w:r w:rsidRPr="00625F6D">
        <w:t xml:space="preserve"> </w:t>
      </w:r>
      <w:proofErr w:type="spellStart"/>
      <w:r w:rsidRPr="00625F6D">
        <w:t>Rehmann</w:t>
      </w:r>
      <w:proofErr w:type="spellEnd"/>
      <w:r w:rsidRPr="00625F6D">
        <w:t>-Sutter</w:t>
      </w:r>
    </w:p>
    <w:p w:rsidR="002967F9" w:rsidRPr="00625F6D" w:rsidRDefault="002967F9" w:rsidP="00515F28">
      <w:pPr>
        <w:autoSpaceDE w:val="0"/>
        <w:autoSpaceDN w:val="0"/>
        <w:adjustRightInd w:val="0"/>
        <w:ind w:left="360"/>
      </w:pPr>
    </w:p>
    <w:p w:rsidR="002967F9" w:rsidRDefault="002967F9" w:rsidP="00515F28">
      <w:pPr>
        <w:autoSpaceDE w:val="0"/>
        <w:autoSpaceDN w:val="0"/>
        <w:adjustRightInd w:val="0"/>
        <w:ind w:left="360"/>
      </w:pPr>
      <w:r w:rsidRPr="00625F6D">
        <w:t>According to the by-laws concerning the election procedure, a candidate can be elected without ballots if there is only one candidate for a position and the General Assembly unanimously agrees.</w:t>
      </w:r>
      <w:r>
        <w:t xml:space="preserve"> </w:t>
      </w:r>
    </w:p>
    <w:p w:rsidR="005C3F6F" w:rsidRDefault="005C3F6F" w:rsidP="00515F28">
      <w:pPr>
        <w:autoSpaceDE w:val="0"/>
        <w:autoSpaceDN w:val="0"/>
        <w:adjustRightInd w:val="0"/>
        <w:ind w:left="360"/>
      </w:pPr>
    </w:p>
    <w:p w:rsidR="002967F9" w:rsidRPr="00625F6D" w:rsidRDefault="002967F9" w:rsidP="00515F28">
      <w:pPr>
        <w:autoSpaceDE w:val="0"/>
        <w:autoSpaceDN w:val="0"/>
        <w:adjustRightInd w:val="0"/>
        <w:ind w:left="360"/>
      </w:pPr>
      <w:r>
        <w:lastRenderedPageBreak/>
        <w:t xml:space="preserve">The GA does indeed agree unanimously to elect </w:t>
      </w:r>
      <w:proofErr w:type="spellStart"/>
      <w:r w:rsidR="005C3F6F" w:rsidRPr="00625F6D">
        <w:t>Christoph</w:t>
      </w:r>
      <w:proofErr w:type="spellEnd"/>
      <w:r w:rsidR="005C3F6F" w:rsidRPr="00625F6D">
        <w:t xml:space="preserve"> </w:t>
      </w:r>
      <w:proofErr w:type="spellStart"/>
      <w:r w:rsidR="005C3F6F" w:rsidRPr="00625F6D">
        <w:t>Rehmann</w:t>
      </w:r>
      <w:proofErr w:type="spellEnd"/>
      <w:r w:rsidR="005C3F6F" w:rsidRPr="00625F6D">
        <w:t>-Sutter</w:t>
      </w:r>
      <w:r w:rsidR="005C3F6F">
        <w:t xml:space="preserve"> without ballots. </w:t>
      </w:r>
    </w:p>
    <w:p w:rsidR="002967F9" w:rsidRDefault="002967F9" w:rsidP="002967F9">
      <w:pPr>
        <w:autoSpaceDE w:val="0"/>
        <w:autoSpaceDN w:val="0"/>
        <w:adjustRightInd w:val="0"/>
      </w:pPr>
    </w:p>
    <w:p w:rsidR="002967F9" w:rsidRPr="00625F6D" w:rsidRDefault="002967F9" w:rsidP="002967F9">
      <w:pPr>
        <w:autoSpaceDE w:val="0"/>
        <w:autoSpaceDN w:val="0"/>
        <w:adjustRightInd w:val="0"/>
      </w:pPr>
    </w:p>
    <w:p w:rsidR="002967F9" w:rsidRDefault="002967F9" w:rsidP="00515F28">
      <w:pPr>
        <w:autoSpaceDE w:val="0"/>
        <w:autoSpaceDN w:val="0"/>
        <w:adjustRightInd w:val="0"/>
        <w:ind w:left="360"/>
      </w:pPr>
      <w:r w:rsidRPr="00625F6D">
        <w:t xml:space="preserve">For the three positions of Regular Board member there </w:t>
      </w:r>
      <w:r w:rsidR="005C3F6F">
        <w:t>are</w:t>
      </w:r>
      <w:r w:rsidRPr="00625F6D">
        <w:t xml:space="preserve"> three ballots with the names of all five candidates on each of these.</w:t>
      </w:r>
    </w:p>
    <w:p w:rsidR="002967F9" w:rsidRPr="00625F6D" w:rsidRDefault="002967F9" w:rsidP="00515F28">
      <w:pPr>
        <w:autoSpaceDE w:val="0"/>
        <w:autoSpaceDN w:val="0"/>
        <w:adjustRightInd w:val="0"/>
        <w:ind w:left="360"/>
      </w:pPr>
    </w:p>
    <w:p w:rsidR="00077CA0" w:rsidRDefault="00077CA0" w:rsidP="00515F28">
      <w:pPr>
        <w:autoSpaceDE w:val="0"/>
        <w:autoSpaceDN w:val="0"/>
        <w:adjustRightInd w:val="0"/>
        <w:ind w:left="360"/>
      </w:pPr>
      <w:r>
        <w:rPr>
          <w:b/>
          <w:bCs/>
        </w:rPr>
        <w:t>Board member 1</w:t>
      </w:r>
      <w:r w:rsidR="002967F9" w:rsidRPr="005956B0">
        <w:t xml:space="preserve">: </w:t>
      </w:r>
      <w:r>
        <w:t xml:space="preserve">Ana </w:t>
      </w:r>
      <w:proofErr w:type="spellStart"/>
      <w:r>
        <w:t>Borovecki</w:t>
      </w:r>
      <w:proofErr w:type="spellEnd"/>
      <w:r>
        <w:t xml:space="preserve">, </w:t>
      </w:r>
      <w:proofErr w:type="spellStart"/>
      <w:r>
        <w:t>Lazare</w:t>
      </w:r>
      <w:proofErr w:type="spellEnd"/>
      <w:r>
        <w:t xml:space="preserve"> </w:t>
      </w:r>
      <w:proofErr w:type="spellStart"/>
      <w:r>
        <w:t>Benaroyo</w:t>
      </w:r>
      <w:proofErr w:type="spellEnd"/>
      <w:r>
        <w:t xml:space="preserve">, </w:t>
      </w:r>
      <w:r w:rsidR="002967F9" w:rsidRPr="005956B0">
        <w:t>B</w:t>
      </w:r>
      <w:r>
        <w:t xml:space="preserve">ernice </w:t>
      </w:r>
      <w:proofErr w:type="spellStart"/>
      <w:r>
        <w:t>Elger</w:t>
      </w:r>
      <w:proofErr w:type="spellEnd"/>
      <w:r>
        <w:t xml:space="preserve">, </w:t>
      </w:r>
      <w:proofErr w:type="spellStart"/>
      <w:r>
        <w:t>Frida</w:t>
      </w:r>
      <w:proofErr w:type="spellEnd"/>
      <w:r>
        <w:t xml:space="preserve"> </w:t>
      </w:r>
      <w:proofErr w:type="spellStart"/>
      <w:r>
        <w:t>Simonstein</w:t>
      </w:r>
      <w:proofErr w:type="spellEnd"/>
      <w:r>
        <w:t xml:space="preserve">, </w:t>
      </w:r>
      <w:r w:rsidR="002967F9" w:rsidRPr="005956B0">
        <w:t>&amp; </w:t>
      </w:r>
      <w:proofErr w:type="spellStart"/>
      <w:r w:rsidR="002967F9" w:rsidRPr="005956B0">
        <w:t>Yesim</w:t>
      </w:r>
      <w:proofErr w:type="spellEnd"/>
      <w:r w:rsidR="002967F9" w:rsidRPr="005956B0">
        <w:t xml:space="preserve"> </w:t>
      </w:r>
      <w:proofErr w:type="spellStart"/>
      <w:r w:rsidR="002967F9" w:rsidRPr="005956B0">
        <w:t>Ulman</w:t>
      </w:r>
      <w:proofErr w:type="spellEnd"/>
    </w:p>
    <w:p w:rsidR="00077CA0" w:rsidRDefault="002967F9" w:rsidP="00515F28">
      <w:pPr>
        <w:autoSpaceDE w:val="0"/>
        <w:autoSpaceDN w:val="0"/>
        <w:adjustRightInd w:val="0"/>
        <w:ind w:left="360"/>
      </w:pPr>
      <w:r w:rsidRPr="001F4C8D">
        <w:rPr>
          <w:b/>
          <w:bCs/>
        </w:rPr>
        <w:t>Board member 2</w:t>
      </w:r>
      <w:r w:rsidRPr="005956B0">
        <w:t xml:space="preserve">: Ana </w:t>
      </w:r>
      <w:proofErr w:type="spellStart"/>
      <w:r w:rsidRPr="005956B0">
        <w:t>Borovecki</w:t>
      </w:r>
      <w:proofErr w:type="spellEnd"/>
      <w:r w:rsidRPr="005956B0">
        <w:t xml:space="preserve">, </w:t>
      </w:r>
      <w:proofErr w:type="spellStart"/>
      <w:r w:rsidRPr="005956B0">
        <w:t>Lazare</w:t>
      </w:r>
      <w:proofErr w:type="spellEnd"/>
      <w:r w:rsidRPr="005956B0">
        <w:t xml:space="preserve"> </w:t>
      </w:r>
      <w:proofErr w:type="spellStart"/>
      <w:r w:rsidRPr="005956B0">
        <w:t>Benaroyo</w:t>
      </w:r>
      <w:proofErr w:type="spellEnd"/>
      <w:r w:rsidRPr="005956B0">
        <w:t xml:space="preserve">, Bernice </w:t>
      </w:r>
      <w:proofErr w:type="spellStart"/>
      <w:r w:rsidRPr="005956B0">
        <w:t>Elger</w:t>
      </w:r>
      <w:proofErr w:type="spellEnd"/>
      <w:r w:rsidRPr="005956B0">
        <w:t xml:space="preserve">, </w:t>
      </w:r>
      <w:proofErr w:type="spellStart"/>
      <w:r w:rsidR="00077CA0">
        <w:t>Frida</w:t>
      </w:r>
      <w:proofErr w:type="spellEnd"/>
      <w:r w:rsidR="00077CA0">
        <w:t xml:space="preserve"> </w:t>
      </w:r>
      <w:proofErr w:type="spellStart"/>
      <w:r w:rsidR="00077CA0">
        <w:t>Simonstein</w:t>
      </w:r>
      <w:proofErr w:type="spellEnd"/>
      <w:r w:rsidR="00077CA0">
        <w:t xml:space="preserve">, &amp; </w:t>
      </w:r>
      <w:proofErr w:type="spellStart"/>
      <w:r w:rsidR="00077CA0">
        <w:t>Yesim</w:t>
      </w:r>
      <w:proofErr w:type="spellEnd"/>
      <w:r w:rsidR="00077CA0">
        <w:t xml:space="preserve"> </w:t>
      </w:r>
      <w:proofErr w:type="spellStart"/>
      <w:r w:rsidR="00077CA0">
        <w:t>Ulman</w:t>
      </w:r>
      <w:proofErr w:type="spellEnd"/>
    </w:p>
    <w:p w:rsidR="002967F9" w:rsidRPr="00077CA0" w:rsidRDefault="002967F9" w:rsidP="00515F28">
      <w:pPr>
        <w:autoSpaceDE w:val="0"/>
        <w:autoSpaceDN w:val="0"/>
        <w:adjustRightInd w:val="0"/>
        <w:ind w:left="360"/>
        <w:rPr>
          <w:b/>
          <w:bCs/>
        </w:rPr>
      </w:pPr>
      <w:r w:rsidRPr="001F4C8D">
        <w:rPr>
          <w:b/>
          <w:bCs/>
        </w:rPr>
        <w:t>Board member 3</w:t>
      </w:r>
      <w:r w:rsidRPr="005956B0">
        <w:t xml:space="preserve">: Ana </w:t>
      </w:r>
      <w:proofErr w:type="spellStart"/>
      <w:r w:rsidRPr="005956B0">
        <w:t>Borovecki</w:t>
      </w:r>
      <w:proofErr w:type="spellEnd"/>
      <w:r w:rsidRPr="005956B0">
        <w:t xml:space="preserve">, </w:t>
      </w:r>
      <w:proofErr w:type="spellStart"/>
      <w:r w:rsidRPr="005956B0">
        <w:t>Lazare</w:t>
      </w:r>
      <w:proofErr w:type="spellEnd"/>
      <w:r w:rsidRPr="005956B0">
        <w:t xml:space="preserve"> </w:t>
      </w:r>
      <w:proofErr w:type="spellStart"/>
      <w:r w:rsidRPr="005956B0">
        <w:t>Benaroyo</w:t>
      </w:r>
      <w:proofErr w:type="spellEnd"/>
      <w:r w:rsidRPr="005956B0">
        <w:t xml:space="preserve">, Bernice </w:t>
      </w:r>
      <w:proofErr w:type="spellStart"/>
      <w:r w:rsidRPr="005956B0">
        <w:t>Elger</w:t>
      </w:r>
      <w:proofErr w:type="spellEnd"/>
      <w:r w:rsidRPr="005956B0">
        <w:t xml:space="preserve">, </w:t>
      </w:r>
      <w:proofErr w:type="spellStart"/>
      <w:r w:rsidRPr="005956B0">
        <w:t>Frida</w:t>
      </w:r>
      <w:proofErr w:type="spellEnd"/>
      <w:r w:rsidRPr="005956B0">
        <w:t xml:space="preserve"> </w:t>
      </w:r>
      <w:proofErr w:type="spellStart"/>
      <w:r w:rsidRPr="005956B0">
        <w:t>Simonstein</w:t>
      </w:r>
      <w:proofErr w:type="spellEnd"/>
      <w:r w:rsidRPr="005956B0">
        <w:t xml:space="preserve">, &amp; </w:t>
      </w:r>
      <w:proofErr w:type="spellStart"/>
      <w:r w:rsidRPr="005956B0">
        <w:t>Yesim</w:t>
      </w:r>
      <w:proofErr w:type="spellEnd"/>
      <w:r w:rsidRPr="005956B0">
        <w:t xml:space="preserve"> </w:t>
      </w:r>
      <w:proofErr w:type="spellStart"/>
      <w:r w:rsidRPr="005956B0">
        <w:t>Ulman</w:t>
      </w:r>
      <w:proofErr w:type="spellEnd"/>
    </w:p>
    <w:p w:rsidR="002967F9" w:rsidRPr="00625F6D" w:rsidRDefault="002967F9" w:rsidP="002967F9">
      <w:pPr>
        <w:autoSpaceDE w:val="0"/>
        <w:autoSpaceDN w:val="0"/>
        <w:adjustRightInd w:val="0"/>
      </w:pPr>
    </w:p>
    <w:p w:rsidR="002967F9" w:rsidRDefault="002967F9" w:rsidP="00515F28">
      <w:pPr>
        <w:ind w:left="360"/>
      </w:pPr>
      <w:r w:rsidRPr="00625F6D">
        <w:t>If the winner of the election for position 1 also receives most votes in the election for the post of position 2, this position will then go to the candidate with the second most votes. If one of the winners (or both winners) of the elections for the first two positions has most votes for position 3, this position will go to the person with the second (or third most) votes.</w:t>
      </w:r>
      <w:r>
        <w:t xml:space="preserve"> The secretary has received two postal ballots.</w:t>
      </w:r>
    </w:p>
    <w:p w:rsidR="005C3F6F" w:rsidRDefault="005C3F6F" w:rsidP="00515F28">
      <w:pPr>
        <w:ind w:left="360"/>
      </w:pPr>
    </w:p>
    <w:p w:rsidR="005C3F6F" w:rsidRDefault="005C3F6F" w:rsidP="00515F28">
      <w:pPr>
        <w:ind w:left="360"/>
      </w:pPr>
      <w:r>
        <w:t>The president asks for candidates to</w:t>
      </w:r>
      <w:r w:rsidR="00077CA0">
        <w:t xml:space="preserve"> serve on the Election Co</w:t>
      </w:r>
      <w:r>
        <w:t xml:space="preserve">mmittee in order to deal with the ballots and count the votes. </w:t>
      </w:r>
      <w:proofErr w:type="spellStart"/>
      <w:r>
        <w:t>Søren</w:t>
      </w:r>
      <w:proofErr w:type="spellEnd"/>
      <w:r>
        <w:t xml:space="preserve"> Holm and Stephen </w:t>
      </w:r>
      <w:proofErr w:type="spellStart"/>
      <w:r>
        <w:t>Tyreman</w:t>
      </w:r>
      <w:proofErr w:type="spellEnd"/>
      <w:r>
        <w:t xml:space="preserve"> are appointed by the GA to serve on the Election Committee.</w:t>
      </w:r>
    </w:p>
    <w:p w:rsidR="005C3F6F" w:rsidRDefault="005C3F6F" w:rsidP="00515F28">
      <w:pPr>
        <w:ind w:left="360"/>
      </w:pPr>
    </w:p>
    <w:p w:rsidR="005C3F6F" w:rsidRDefault="005C3F6F" w:rsidP="00515F28">
      <w:pPr>
        <w:ind w:left="360"/>
      </w:pPr>
      <w:r>
        <w:t xml:space="preserve">The result of the elections of the normal board members </w:t>
      </w:r>
      <w:r w:rsidR="00077CA0">
        <w:t>is</w:t>
      </w:r>
      <w:r>
        <w:t xml:space="preserve"> as follows:</w:t>
      </w:r>
    </w:p>
    <w:p w:rsidR="001D47EB" w:rsidRDefault="001D47EB" w:rsidP="00515F28">
      <w:pPr>
        <w:ind w:left="360"/>
      </w:pPr>
    </w:p>
    <w:p w:rsidR="005C3F6F" w:rsidRDefault="005C3F6F" w:rsidP="00515F28">
      <w:pPr>
        <w:autoSpaceDE w:val="0"/>
        <w:autoSpaceDN w:val="0"/>
        <w:adjustRightInd w:val="0"/>
        <w:ind w:left="360"/>
      </w:pPr>
      <w:r w:rsidRPr="001F4C8D">
        <w:rPr>
          <w:b/>
          <w:bCs/>
        </w:rPr>
        <w:t>Board member 1</w:t>
      </w:r>
      <w:r w:rsidRPr="005956B0">
        <w:t xml:space="preserve">: </w:t>
      </w:r>
      <w:r>
        <w:t xml:space="preserve">Bernice </w:t>
      </w:r>
      <w:proofErr w:type="spellStart"/>
      <w:r>
        <w:t>Elger</w:t>
      </w:r>
      <w:proofErr w:type="spellEnd"/>
    </w:p>
    <w:p w:rsidR="005C3F6F" w:rsidRDefault="005C3F6F" w:rsidP="00515F28">
      <w:pPr>
        <w:autoSpaceDE w:val="0"/>
        <w:autoSpaceDN w:val="0"/>
        <w:adjustRightInd w:val="0"/>
        <w:ind w:left="360"/>
      </w:pPr>
      <w:r w:rsidRPr="001F4C8D">
        <w:rPr>
          <w:b/>
          <w:bCs/>
        </w:rPr>
        <w:t>Board member 2</w:t>
      </w:r>
      <w:r w:rsidRPr="005956B0">
        <w:t xml:space="preserve">: Ana </w:t>
      </w:r>
      <w:proofErr w:type="spellStart"/>
      <w:r w:rsidRPr="005956B0">
        <w:t>Borovecki</w:t>
      </w:r>
      <w:proofErr w:type="spellEnd"/>
    </w:p>
    <w:p w:rsidR="005C3F6F" w:rsidRPr="00625F6D" w:rsidRDefault="005C3F6F" w:rsidP="00515F28">
      <w:pPr>
        <w:autoSpaceDE w:val="0"/>
        <w:autoSpaceDN w:val="0"/>
        <w:adjustRightInd w:val="0"/>
        <w:ind w:left="360"/>
      </w:pPr>
      <w:r w:rsidRPr="001F4C8D">
        <w:rPr>
          <w:b/>
          <w:bCs/>
        </w:rPr>
        <w:t>Board member 3</w:t>
      </w:r>
      <w:r w:rsidRPr="005956B0">
        <w:t xml:space="preserve">: </w:t>
      </w:r>
      <w:proofErr w:type="spellStart"/>
      <w:r>
        <w:t>Lazare</w:t>
      </w:r>
      <w:proofErr w:type="spellEnd"/>
      <w:r>
        <w:t xml:space="preserve"> </w:t>
      </w:r>
      <w:proofErr w:type="spellStart"/>
      <w:r>
        <w:t>Benaroyo</w:t>
      </w:r>
      <w:proofErr w:type="spellEnd"/>
    </w:p>
    <w:p w:rsidR="005C3F6F" w:rsidRPr="00625F6D" w:rsidRDefault="005C3F6F" w:rsidP="002967F9"/>
    <w:p w:rsidR="0080309C" w:rsidRPr="00A123CF" w:rsidRDefault="0080309C" w:rsidP="00F70915"/>
    <w:p w:rsidR="00B62BE2" w:rsidRDefault="00B62BE2" w:rsidP="00745DE3">
      <w:pPr>
        <w:numPr>
          <w:ilvl w:val="0"/>
          <w:numId w:val="1"/>
        </w:numPr>
        <w:rPr>
          <w:b/>
          <w:bCs/>
        </w:rPr>
      </w:pPr>
      <w:r w:rsidRPr="00A123CF">
        <w:rPr>
          <w:b/>
          <w:bCs/>
        </w:rPr>
        <w:t>Number of board members with respect to the next elections</w:t>
      </w:r>
    </w:p>
    <w:p w:rsidR="00C6672F" w:rsidRPr="00A123CF" w:rsidRDefault="00C6672F" w:rsidP="00C6672F">
      <w:pPr>
        <w:ind w:left="360"/>
        <w:rPr>
          <w:b/>
          <w:bCs/>
        </w:rPr>
      </w:pPr>
    </w:p>
    <w:p w:rsidR="00B62BE2" w:rsidRPr="00A123CF" w:rsidRDefault="00B62BE2" w:rsidP="00515F28">
      <w:pPr>
        <w:ind w:left="360"/>
      </w:pPr>
      <w:r w:rsidRPr="00A123CF">
        <w:t>According to the Statutes, the number of positions in the Board has to be settled by the GA. There is no proposal to change the current number of seats. That means that the society continues to have 9 board positions. The GA approves that the ESPMH continues to have 9 board members.</w:t>
      </w:r>
    </w:p>
    <w:p w:rsidR="00B62BE2" w:rsidRPr="00A123CF" w:rsidRDefault="00B62BE2" w:rsidP="00F70915"/>
    <w:p w:rsidR="0080309C" w:rsidRPr="00A123CF" w:rsidRDefault="0080309C" w:rsidP="00F70915"/>
    <w:p w:rsidR="00B62BE2" w:rsidRDefault="00B62BE2" w:rsidP="00745DE3">
      <w:pPr>
        <w:numPr>
          <w:ilvl w:val="0"/>
          <w:numId w:val="1"/>
        </w:numPr>
        <w:rPr>
          <w:b/>
          <w:bCs/>
        </w:rPr>
      </w:pPr>
      <w:r w:rsidRPr="00A123CF">
        <w:rPr>
          <w:b/>
          <w:bCs/>
        </w:rPr>
        <w:t>Future conferences</w:t>
      </w:r>
    </w:p>
    <w:p w:rsidR="00C6672F" w:rsidRPr="00A123CF" w:rsidRDefault="00C6672F" w:rsidP="00077CA0"/>
    <w:p w:rsidR="005C3F6F" w:rsidRPr="00077CA0" w:rsidRDefault="005C3F6F" w:rsidP="00077CA0">
      <w:pPr>
        <w:pStyle w:val="ListParagraph"/>
        <w:numPr>
          <w:ilvl w:val="0"/>
          <w:numId w:val="11"/>
        </w:numPr>
        <w:rPr>
          <w:szCs w:val="24"/>
        </w:rPr>
      </w:pPr>
      <w:r w:rsidRPr="00077CA0">
        <w:rPr>
          <w:szCs w:val="24"/>
        </w:rPr>
        <w:t xml:space="preserve">Peter </w:t>
      </w:r>
      <w:proofErr w:type="spellStart"/>
      <w:r w:rsidRPr="00077CA0">
        <w:rPr>
          <w:szCs w:val="24"/>
        </w:rPr>
        <w:t>Kakuk</w:t>
      </w:r>
      <w:proofErr w:type="spellEnd"/>
      <w:r w:rsidRPr="00077CA0">
        <w:rPr>
          <w:szCs w:val="24"/>
        </w:rPr>
        <w:t xml:space="preserve"> give</w:t>
      </w:r>
      <w:r w:rsidR="00093323">
        <w:rPr>
          <w:szCs w:val="24"/>
        </w:rPr>
        <w:t>s</w:t>
      </w:r>
      <w:r w:rsidRPr="00077CA0">
        <w:rPr>
          <w:szCs w:val="24"/>
        </w:rPr>
        <w:t xml:space="preserve"> a talk about next year’s conference in Debrecen</w:t>
      </w:r>
      <w:r w:rsidR="00077CA0" w:rsidRPr="00077CA0">
        <w:rPr>
          <w:szCs w:val="24"/>
        </w:rPr>
        <w:t>, Hungary</w:t>
      </w:r>
      <w:r w:rsidRPr="00077CA0">
        <w:rPr>
          <w:szCs w:val="24"/>
        </w:rPr>
        <w:t xml:space="preserve"> (already approved by the GA)</w:t>
      </w:r>
      <w:r w:rsidR="00093323">
        <w:rPr>
          <w:szCs w:val="24"/>
        </w:rPr>
        <w:t>.</w:t>
      </w:r>
    </w:p>
    <w:p w:rsidR="005C3F6F" w:rsidRPr="00077CA0" w:rsidRDefault="005C3F6F" w:rsidP="00077CA0">
      <w:pPr>
        <w:pStyle w:val="ListParagraph"/>
        <w:numPr>
          <w:ilvl w:val="0"/>
          <w:numId w:val="11"/>
        </w:numPr>
        <w:rPr>
          <w:szCs w:val="24"/>
        </w:rPr>
      </w:pPr>
      <w:r w:rsidRPr="00077CA0">
        <w:rPr>
          <w:szCs w:val="24"/>
        </w:rPr>
        <w:t xml:space="preserve">Instead of </w:t>
      </w:r>
      <w:proofErr w:type="spellStart"/>
      <w:r w:rsidRPr="00077CA0">
        <w:rPr>
          <w:szCs w:val="24"/>
        </w:rPr>
        <w:t>Ignaas</w:t>
      </w:r>
      <w:proofErr w:type="spellEnd"/>
      <w:r w:rsidRPr="00077CA0">
        <w:rPr>
          <w:szCs w:val="24"/>
        </w:rPr>
        <w:t xml:space="preserve"> </w:t>
      </w:r>
      <w:proofErr w:type="spellStart"/>
      <w:r w:rsidRPr="00077CA0">
        <w:rPr>
          <w:szCs w:val="24"/>
        </w:rPr>
        <w:t>Devisch</w:t>
      </w:r>
      <w:proofErr w:type="spellEnd"/>
      <w:r w:rsidRPr="00077CA0">
        <w:rPr>
          <w:szCs w:val="24"/>
        </w:rPr>
        <w:t xml:space="preserve">, who </w:t>
      </w:r>
      <w:r w:rsidR="00093323">
        <w:rPr>
          <w:szCs w:val="24"/>
        </w:rPr>
        <w:t>is</w:t>
      </w:r>
      <w:r w:rsidRPr="00077CA0">
        <w:rPr>
          <w:szCs w:val="24"/>
        </w:rPr>
        <w:t xml:space="preserve"> not able to attend the current conference, </w:t>
      </w:r>
      <w:proofErr w:type="spellStart"/>
      <w:r w:rsidRPr="00077CA0">
        <w:rPr>
          <w:szCs w:val="24"/>
        </w:rPr>
        <w:t>Veerle</w:t>
      </w:r>
      <w:proofErr w:type="spellEnd"/>
      <w:r w:rsidRPr="00077CA0">
        <w:rPr>
          <w:szCs w:val="24"/>
        </w:rPr>
        <w:t xml:space="preserve"> Provost give</w:t>
      </w:r>
      <w:r w:rsidR="00093323">
        <w:rPr>
          <w:szCs w:val="24"/>
        </w:rPr>
        <w:t>s</w:t>
      </w:r>
      <w:r w:rsidRPr="00077CA0">
        <w:rPr>
          <w:szCs w:val="24"/>
        </w:rPr>
        <w:t xml:space="preserve"> a presentation focused on t</w:t>
      </w:r>
      <w:r w:rsidR="00077CA0" w:rsidRPr="00077CA0">
        <w:rPr>
          <w:szCs w:val="24"/>
        </w:rPr>
        <w:t xml:space="preserve">he upcoming conference in Ghent, Belgium </w:t>
      </w:r>
      <w:r w:rsidRPr="00077CA0">
        <w:rPr>
          <w:szCs w:val="24"/>
        </w:rPr>
        <w:t>(already approved by the GA)</w:t>
      </w:r>
      <w:r w:rsidR="00093323">
        <w:rPr>
          <w:szCs w:val="24"/>
        </w:rPr>
        <w:t>.</w:t>
      </w:r>
    </w:p>
    <w:p w:rsidR="00077CA0" w:rsidRPr="00077CA0" w:rsidRDefault="005C3F6F" w:rsidP="00077CA0">
      <w:pPr>
        <w:pStyle w:val="ListParagraph"/>
        <w:numPr>
          <w:ilvl w:val="0"/>
          <w:numId w:val="11"/>
        </w:numPr>
        <w:rPr>
          <w:szCs w:val="24"/>
        </w:rPr>
      </w:pPr>
      <w:proofErr w:type="spellStart"/>
      <w:r w:rsidRPr="00077CA0">
        <w:rPr>
          <w:szCs w:val="24"/>
        </w:rPr>
        <w:t>Yesim</w:t>
      </w:r>
      <w:proofErr w:type="spellEnd"/>
      <w:r w:rsidRPr="00077CA0">
        <w:rPr>
          <w:szCs w:val="24"/>
        </w:rPr>
        <w:t xml:space="preserve"> </w:t>
      </w:r>
      <w:proofErr w:type="spellStart"/>
      <w:r w:rsidRPr="00077CA0">
        <w:rPr>
          <w:szCs w:val="24"/>
        </w:rPr>
        <w:t>Ulman</w:t>
      </w:r>
      <w:proofErr w:type="spellEnd"/>
      <w:r w:rsidRPr="00077CA0">
        <w:rPr>
          <w:szCs w:val="24"/>
        </w:rPr>
        <w:t xml:space="preserve"> present</w:t>
      </w:r>
      <w:r w:rsidR="00093323">
        <w:rPr>
          <w:szCs w:val="24"/>
        </w:rPr>
        <w:t>s</w:t>
      </w:r>
      <w:r w:rsidRPr="00077CA0">
        <w:rPr>
          <w:szCs w:val="24"/>
        </w:rPr>
        <w:t xml:space="preserve"> a proposal to host the </w:t>
      </w:r>
      <w:r w:rsidR="00077CA0" w:rsidRPr="00077CA0">
        <w:rPr>
          <w:szCs w:val="24"/>
        </w:rPr>
        <w:t xml:space="preserve">2016 </w:t>
      </w:r>
      <w:r w:rsidRPr="00077CA0">
        <w:rPr>
          <w:szCs w:val="24"/>
        </w:rPr>
        <w:t>ESPMH conference in Istanbul</w:t>
      </w:r>
      <w:r w:rsidR="00077CA0">
        <w:rPr>
          <w:szCs w:val="24"/>
        </w:rPr>
        <w:t>, Turkey</w:t>
      </w:r>
      <w:r w:rsidRPr="00077CA0">
        <w:rPr>
          <w:szCs w:val="24"/>
        </w:rPr>
        <w:t>.</w:t>
      </w:r>
      <w:r w:rsidR="00093323">
        <w:rPr>
          <w:szCs w:val="24"/>
        </w:rPr>
        <w:t xml:space="preserve"> Her proposal is accepted by the GA.</w:t>
      </w:r>
    </w:p>
    <w:p w:rsidR="00B62BE2" w:rsidRDefault="00B62BE2" w:rsidP="00003B1B">
      <w:pPr>
        <w:pStyle w:val="ListParagraph"/>
        <w:numPr>
          <w:ilvl w:val="0"/>
          <w:numId w:val="11"/>
        </w:numPr>
        <w:ind w:left="709"/>
      </w:pPr>
      <w:r w:rsidRPr="00093323">
        <w:rPr>
          <w:szCs w:val="24"/>
        </w:rPr>
        <w:t xml:space="preserve">Further plans: </w:t>
      </w:r>
      <w:r w:rsidRPr="00A123CF">
        <w:t xml:space="preserve">A host for the </w:t>
      </w:r>
      <w:r w:rsidR="00093323">
        <w:t xml:space="preserve">2017 </w:t>
      </w:r>
      <w:r w:rsidRPr="00A123CF">
        <w:t>meeting has yet to be found. The secretary invites interesting proposals.</w:t>
      </w:r>
      <w:r w:rsidR="005C3F6F" w:rsidRPr="005C3F6F">
        <w:t xml:space="preserve"> </w:t>
      </w:r>
    </w:p>
    <w:p w:rsidR="004F5BDE" w:rsidRPr="00A123CF" w:rsidRDefault="004F5BDE" w:rsidP="00126ECA">
      <w:pPr>
        <w:ind w:left="360"/>
      </w:pPr>
    </w:p>
    <w:p w:rsidR="0080309C" w:rsidRPr="00A123CF" w:rsidRDefault="0080309C" w:rsidP="00126ECA">
      <w:pPr>
        <w:ind w:left="360"/>
      </w:pPr>
    </w:p>
    <w:p w:rsidR="00B62BE2" w:rsidRPr="00C6672F" w:rsidRDefault="00B62BE2" w:rsidP="00745DE3">
      <w:pPr>
        <w:numPr>
          <w:ilvl w:val="0"/>
          <w:numId w:val="1"/>
        </w:numPr>
        <w:rPr>
          <w:b/>
          <w:bCs/>
        </w:rPr>
      </w:pPr>
      <w:r w:rsidRPr="00A123CF">
        <w:rPr>
          <w:b/>
          <w:bCs/>
        </w:rPr>
        <w:t xml:space="preserve">Journal </w:t>
      </w:r>
      <w:r w:rsidRPr="00A123CF">
        <w:rPr>
          <w:b/>
          <w:bCs/>
          <w:i/>
        </w:rPr>
        <w:t>Medicine, Health Care and Philosophy</w:t>
      </w:r>
      <w:r w:rsidR="008E7DB0">
        <w:rPr>
          <w:b/>
          <w:bCs/>
          <w:i/>
        </w:rPr>
        <w:t xml:space="preserve"> (MHEP)</w:t>
      </w:r>
    </w:p>
    <w:p w:rsidR="00C6672F" w:rsidRPr="00A123CF" w:rsidRDefault="00C6672F" w:rsidP="00C6672F">
      <w:pPr>
        <w:ind w:left="360"/>
        <w:rPr>
          <w:b/>
          <w:bCs/>
        </w:rPr>
      </w:pPr>
    </w:p>
    <w:p w:rsidR="00077CA0" w:rsidRDefault="005C3F6F" w:rsidP="00515F28">
      <w:pPr>
        <w:ind w:left="360"/>
        <w:rPr>
          <w:iCs/>
        </w:rPr>
      </w:pPr>
      <w:r>
        <w:rPr>
          <w:iCs/>
        </w:rPr>
        <w:t xml:space="preserve">Floor </w:t>
      </w:r>
      <w:proofErr w:type="spellStart"/>
      <w:r>
        <w:rPr>
          <w:iCs/>
        </w:rPr>
        <w:t>Oosting</w:t>
      </w:r>
      <w:proofErr w:type="spellEnd"/>
      <w:r>
        <w:rPr>
          <w:iCs/>
        </w:rPr>
        <w:t xml:space="preserve">, the new publishing editor from Springer, presents a brief </w:t>
      </w:r>
      <w:r w:rsidR="000F790B">
        <w:rPr>
          <w:iCs/>
        </w:rPr>
        <w:t>report</w:t>
      </w:r>
      <w:r>
        <w:rPr>
          <w:iCs/>
        </w:rPr>
        <w:t xml:space="preserve"> about the </w:t>
      </w:r>
      <w:r w:rsidR="00FF01D1">
        <w:rPr>
          <w:iCs/>
        </w:rPr>
        <w:t xml:space="preserve">society’s </w:t>
      </w:r>
      <w:r>
        <w:rPr>
          <w:iCs/>
        </w:rPr>
        <w:t xml:space="preserve">journal. </w:t>
      </w:r>
      <w:r w:rsidR="00FF01D1">
        <w:rPr>
          <w:iCs/>
        </w:rPr>
        <w:t>MHEP</w:t>
      </w:r>
      <w:r w:rsidRPr="0085499C">
        <w:rPr>
          <w:iCs/>
        </w:rPr>
        <w:t xml:space="preserve"> is doing very well. </w:t>
      </w:r>
      <w:r>
        <w:rPr>
          <w:iCs/>
        </w:rPr>
        <w:t>T</w:t>
      </w:r>
      <w:r w:rsidRPr="0085499C">
        <w:rPr>
          <w:iCs/>
        </w:rPr>
        <w:t xml:space="preserve">he manuscript flow is very good. </w:t>
      </w:r>
      <w:r w:rsidR="008E7DB0" w:rsidRPr="008E7DB0">
        <w:t xml:space="preserve">The majority of </w:t>
      </w:r>
      <w:r w:rsidR="008E7DB0" w:rsidRPr="008E7DB0">
        <w:rPr>
          <w:bCs/>
        </w:rPr>
        <w:t>submissions</w:t>
      </w:r>
      <w:r w:rsidR="008E7DB0" w:rsidRPr="008E7DB0">
        <w:rPr>
          <w:b/>
          <w:bCs/>
        </w:rPr>
        <w:t xml:space="preserve"> </w:t>
      </w:r>
      <w:r w:rsidR="008E7DB0" w:rsidRPr="008E7DB0">
        <w:t xml:space="preserve">come from </w:t>
      </w:r>
      <w:r w:rsidR="008E7DB0">
        <w:t xml:space="preserve">the </w:t>
      </w:r>
      <w:r w:rsidR="008E7DB0" w:rsidRPr="008E7DB0">
        <w:t xml:space="preserve">US, </w:t>
      </w:r>
      <w:r w:rsidR="008E7DB0">
        <w:t xml:space="preserve">the </w:t>
      </w:r>
      <w:r w:rsidR="008E7DB0" w:rsidRPr="008E7DB0">
        <w:t>UK, Scandinavia and The Nethe</w:t>
      </w:r>
      <w:r w:rsidR="00FF01D1">
        <w:t>rlands. T</w:t>
      </w:r>
      <w:r w:rsidR="008E7DB0">
        <w:t>here are submissions</w:t>
      </w:r>
      <w:r w:rsidR="008E7DB0" w:rsidRPr="008E7DB0">
        <w:t xml:space="preserve"> from Eastern Europe and Mediterranean countries.</w:t>
      </w:r>
      <w:r w:rsidR="008E7DB0">
        <w:t xml:space="preserve"> </w:t>
      </w:r>
      <w:r w:rsidR="00FF01D1" w:rsidRPr="008E7DB0">
        <w:t>The journal had developed a large backlog</w:t>
      </w:r>
      <w:r w:rsidR="00FF01D1" w:rsidRPr="00FF01D1">
        <w:rPr>
          <w:iCs/>
        </w:rPr>
        <w:t xml:space="preserve"> </w:t>
      </w:r>
      <w:r w:rsidR="00FF01D1">
        <w:rPr>
          <w:iCs/>
        </w:rPr>
        <w:t>of papers in the online first section</w:t>
      </w:r>
      <w:r w:rsidR="00FF01D1" w:rsidRPr="008E7DB0">
        <w:t>; papers are usually published online first after acceptance in 15-20 days but until recently it could take up to 235 days to be published in an issue. We want to avoid that in the future.</w:t>
      </w:r>
      <w:r w:rsidR="00FF01D1">
        <w:t xml:space="preserve"> </w:t>
      </w:r>
      <w:r>
        <w:rPr>
          <w:iCs/>
        </w:rPr>
        <w:t xml:space="preserve">In order to deal with this </w:t>
      </w:r>
      <w:r w:rsidR="008E7DB0">
        <w:rPr>
          <w:iCs/>
        </w:rPr>
        <w:t>Springer</w:t>
      </w:r>
      <w:r>
        <w:rPr>
          <w:iCs/>
        </w:rPr>
        <w:t xml:space="preserve"> have published a couple of very chunky issues in 2013. The rejection rate is currently 49%. There is room to follow a stricter editorial policy now, give</w:t>
      </w:r>
      <w:r w:rsidR="00077CA0">
        <w:rPr>
          <w:iCs/>
        </w:rPr>
        <w:t>n</w:t>
      </w:r>
      <w:r>
        <w:rPr>
          <w:iCs/>
        </w:rPr>
        <w:t xml:space="preserve"> the considerable manuscript flow. Also the page budget </w:t>
      </w:r>
      <w:r w:rsidR="008E7DB0" w:rsidRPr="008E7DB0">
        <w:t>has recently been increased, from 400 pages</w:t>
      </w:r>
      <w:r w:rsidR="008E7DB0">
        <w:t>,</w:t>
      </w:r>
      <w:r w:rsidR="008E7DB0" w:rsidRPr="008E7DB0">
        <w:t xml:space="preserve"> officially in 2013</w:t>
      </w:r>
      <w:r w:rsidR="008E7DB0">
        <w:t>,</w:t>
      </w:r>
      <w:r w:rsidR="008E7DB0" w:rsidRPr="008E7DB0">
        <w:t xml:space="preserve"> to 600 pages</w:t>
      </w:r>
      <w:r w:rsidR="008E7DB0">
        <w:t>,</w:t>
      </w:r>
      <w:r w:rsidR="008E7DB0" w:rsidRPr="008E7DB0">
        <w:t xml:space="preserve"> officially in 2014. </w:t>
      </w:r>
    </w:p>
    <w:p w:rsidR="008E7DB0" w:rsidRDefault="005C3F6F" w:rsidP="00515F28">
      <w:pPr>
        <w:ind w:left="360"/>
        <w:rPr>
          <w:iCs/>
        </w:rPr>
      </w:pPr>
      <w:r>
        <w:rPr>
          <w:iCs/>
        </w:rPr>
        <w:t>The journal’s</w:t>
      </w:r>
      <w:r w:rsidRPr="0085499C">
        <w:rPr>
          <w:iCs/>
        </w:rPr>
        <w:t xml:space="preserve"> impact factor </w:t>
      </w:r>
      <w:r>
        <w:rPr>
          <w:iCs/>
        </w:rPr>
        <w:t xml:space="preserve">is </w:t>
      </w:r>
      <w:r w:rsidR="00FF01D1">
        <w:rPr>
          <w:iCs/>
        </w:rPr>
        <w:t>somewhat</w:t>
      </w:r>
      <w:r>
        <w:rPr>
          <w:iCs/>
        </w:rPr>
        <w:t xml:space="preserve"> down</w:t>
      </w:r>
      <w:r w:rsidR="00FF01D1">
        <w:rPr>
          <w:iCs/>
        </w:rPr>
        <w:t>,</w:t>
      </w:r>
      <w:r w:rsidRPr="0085499C">
        <w:rPr>
          <w:iCs/>
        </w:rPr>
        <w:t xml:space="preserve"> </w:t>
      </w:r>
      <w:r>
        <w:rPr>
          <w:iCs/>
        </w:rPr>
        <w:t>from 0.906 in 2011 to 0.756 in 2012</w:t>
      </w:r>
      <w:r w:rsidRPr="0085499C">
        <w:rPr>
          <w:iCs/>
        </w:rPr>
        <w:t xml:space="preserve">. </w:t>
      </w:r>
      <w:r>
        <w:rPr>
          <w:iCs/>
        </w:rPr>
        <w:t xml:space="preserve">However, the </w:t>
      </w:r>
      <w:r w:rsidR="008E7DB0" w:rsidRPr="008E7DB0">
        <w:rPr>
          <w:bCs/>
        </w:rPr>
        <w:t>usage</w:t>
      </w:r>
      <w:r w:rsidR="008E7DB0" w:rsidRPr="008E7DB0">
        <w:t xml:space="preserve"> of the journal is good compared to other bioethics </w:t>
      </w:r>
      <w:r w:rsidR="008E7DB0">
        <w:t>journals of about the same size</w:t>
      </w:r>
      <w:r w:rsidR="008E7DB0" w:rsidRPr="008E7DB0">
        <w:t xml:space="preserve"> </w:t>
      </w:r>
      <w:r w:rsidR="008E7DB0">
        <w:t>(54,</w:t>
      </w:r>
      <w:r w:rsidR="008E7DB0" w:rsidRPr="008E7DB0">
        <w:t>636 full article downloads in 2012</w:t>
      </w:r>
      <w:r w:rsidR="008E7DB0">
        <w:t>)</w:t>
      </w:r>
      <w:r w:rsidR="008E7DB0" w:rsidRPr="008E7DB0">
        <w:t>.</w:t>
      </w:r>
      <w:r w:rsidR="008E7DB0">
        <w:t xml:space="preserve"> </w:t>
      </w:r>
      <w:r w:rsidR="00FF01D1">
        <w:t>Its</w:t>
      </w:r>
      <w:r w:rsidR="008E7DB0">
        <w:t xml:space="preserve"> </w:t>
      </w:r>
      <w:r>
        <w:rPr>
          <w:iCs/>
        </w:rPr>
        <w:t>usage factor (</w:t>
      </w:r>
      <w:r w:rsidR="008E7DB0" w:rsidRPr="008E7DB0">
        <w:t>the number of downloads in 2011 and 2012 divided by the number of articles published in 2011 and 2012</w:t>
      </w:r>
      <w:r w:rsidR="008E7DB0">
        <w:t>)</w:t>
      </w:r>
      <w:r>
        <w:rPr>
          <w:iCs/>
        </w:rPr>
        <w:t xml:space="preserve"> is up from 179.0 in 2011 to 197.1 in 2012. </w:t>
      </w:r>
    </w:p>
    <w:p w:rsidR="005C3F6F" w:rsidRPr="0085499C" w:rsidRDefault="00FF01D1" w:rsidP="00515F28">
      <w:pPr>
        <w:ind w:left="360"/>
        <w:rPr>
          <w:iCs/>
        </w:rPr>
      </w:pPr>
      <w:r>
        <w:rPr>
          <w:iCs/>
        </w:rPr>
        <w:t>Additionally, the H</w:t>
      </w:r>
      <w:r w:rsidR="005C3F6F">
        <w:rPr>
          <w:iCs/>
        </w:rPr>
        <w:t>5</w:t>
      </w:r>
      <w:r>
        <w:rPr>
          <w:iCs/>
        </w:rPr>
        <w:t xml:space="preserve"> </w:t>
      </w:r>
      <w:r w:rsidR="005C3F6F">
        <w:rPr>
          <w:iCs/>
        </w:rPr>
        <w:t xml:space="preserve">index (the largest number </w:t>
      </w:r>
      <w:r w:rsidRPr="00FF01D1">
        <w:rPr>
          <w:i/>
          <w:iCs/>
        </w:rPr>
        <w:t>h</w:t>
      </w:r>
      <w:r>
        <w:rPr>
          <w:iCs/>
        </w:rPr>
        <w:t xml:space="preserve"> </w:t>
      </w:r>
      <w:r w:rsidR="005C3F6F">
        <w:rPr>
          <w:iCs/>
        </w:rPr>
        <w:t xml:space="preserve">of articles that have </w:t>
      </w:r>
      <w:r w:rsidR="00A73E80">
        <w:rPr>
          <w:iCs/>
        </w:rPr>
        <w:t>all</w:t>
      </w:r>
      <w:r w:rsidR="005C3F6F">
        <w:rPr>
          <w:iCs/>
        </w:rPr>
        <w:t xml:space="preserve"> been cited at least </w:t>
      </w:r>
      <w:r w:rsidR="005C3F6F" w:rsidRPr="00FF01D1">
        <w:rPr>
          <w:i/>
          <w:iCs/>
        </w:rPr>
        <w:t>h</w:t>
      </w:r>
      <w:r w:rsidR="005C3F6F">
        <w:rPr>
          <w:iCs/>
        </w:rPr>
        <w:t xml:space="preserve"> times) is </w:t>
      </w:r>
      <w:r w:rsidR="004F5BDE">
        <w:rPr>
          <w:iCs/>
        </w:rPr>
        <w:t xml:space="preserve">17, which is </w:t>
      </w:r>
      <w:r w:rsidR="00D53C43">
        <w:rPr>
          <w:iCs/>
        </w:rPr>
        <w:t>rather</w:t>
      </w:r>
      <w:r w:rsidR="005C3F6F">
        <w:rPr>
          <w:iCs/>
        </w:rPr>
        <w:t xml:space="preserve"> good compared with similar journals: (</w:t>
      </w:r>
      <w:r w:rsidR="005C3F6F" w:rsidRPr="001F4C8D">
        <w:rPr>
          <w:i/>
          <w:iCs/>
        </w:rPr>
        <w:t>Journal of Bioethical Inquiry</w:t>
      </w:r>
      <w:r w:rsidR="005C3F6F">
        <w:rPr>
          <w:iCs/>
        </w:rPr>
        <w:t xml:space="preserve">: </w:t>
      </w:r>
      <w:r w:rsidR="005C3F6F" w:rsidRPr="00FF01D1">
        <w:rPr>
          <w:iCs/>
        </w:rPr>
        <w:t>9;</w:t>
      </w:r>
      <w:r w:rsidR="005C3F6F">
        <w:rPr>
          <w:iCs/>
        </w:rPr>
        <w:t xml:space="preserve"> </w:t>
      </w:r>
      <w:r w:rsidR="005C3F6F" w:rsidRPr="001F4C8D">
        <w:rPr>
          <w:i/>
          <w:iCs/>
        </w:rPr>
        <w:t>Theoretical Medicine and Bioethics</w:t>
      </w:r>
      <w:r w:rsidR="005C3F6F">
        <w:rPr>
          <w:iCs/>
        </w:rPr>
        <w:t>: 11).</w:t>
      </w:r>
    </w:p>
    <w:p w:rsidR="00515F28" w:rsidRDefault="00FF01D1" w:rsidP="00515F28">
      <w:pPr>
        <w:ind w:left="360"/>
      </w:pPr>
      <w:r>
        <w:t xml:space="preserve">The number of subscriptions has been going down a bit but </w:t>
      </w:r>
      <w:r w:rsidR="008E7DB0" w:rsidRPr="008E7DB0">
        <w:t xml:space="preserve">MHEP is included in 428 </w:t>
      </w:r>
      <w:r w:rsidR="008E7DB0" w:rsidRPr="00FF01D1">
        <w:rPr>
          <w:bCs/>
        </w:rPr>
        <w:t>deals</w:t>
      </w:r>
      <w:r w:rsidR="008E7DB0" w:rsidRPr="008E7DB0">
        <w:t xml:space="preserve"> representing together 8246 institutions.</w:t>
      </w:r>
      <w:r>
        <w:t xml:space="preserve"> Currently, M</w:t>
      </w:r>
      <w:r w:rsidR="008E7DB0" w:rsidRPr="008E7DB0">
        <w:t xml:space="preserve">HEP has </w:t>
      </w:r>
      <w:r w:rsidR="008E7DB0" w:rsidRPr="00FF01D1">
        <w:t xml:space="preserve">872 </w:t>
      </w:r>
      <w:r w:rsidR="008E7DB0" w:rsidRPr="00FF01D1">
        <w:rPr>
          <w:bCs/>
        </w:rPr>
        <w:t>TOC alert subscribers</w:t>
      </w:r>
      <w:r>
        <w:rPr>
          <w:bCs/>
        </w:rPr>
        <w:t>. (</w:t>
      </w:r>
      <w:r>
        <w:t>E</w:t>
      </w:r>
      <w:r w:rsidR="008E7DB0" w:rsidRPr="008E7DB0">
        <w:t>veryone can go to the journal</w:t>
      </w:r>
      <w:r>
        <w:t>’s home</w:t>
      </w:r>
      <w:r w:rsidR="008E7DB0" w:rsidRPr="008E7DB0">
        <w:t>page</w:t>
      </w:r>
    </w:p>
    <w:p w:rsidR="008E7DB0" w:rsidRPr="008E7DB0" w:rsidRDefault="00FF01D1" w:rsidP="00515F28">
      <w:pPr>
        <w:ind w:left="360"/>
      </w:pPr>
      <w:r>
        <w:t>(</w:t>
      </w:r>
      <w:hyperlink r:id="rId7" w:tgtFrame="_blank" w:history="1">
        <w:r w:rsidRPr="008E7DB0">
          <w:rPr>
            <w:rStyle w:val="Hyperlink"/>
          </w:rPr>
          <w:t>http://www.springer.com/medicine/journal/11019</w:t>
        </w:r>
      </w:hyperlink>
      <w:r w:rsidR="00A73E80">
        <w:t xml:space="preserve"> </w:t>
      </w:r>
      <w:r w:rsidR="008E7DB0" w:rsidRPr="008E7DB0">
        <w:t>and subscribe easily by typing in his/her e-mail address</w:t>
      </w:r>
      <w:r>
        <w:t>)</w:t>
      </w:r>
    </w:p>
    <w:p w:rsidR="0080309C" w:rsidRDefault="0080309C" w:rsidP="00F70915"/>
    <w:p w:rsidR="00FF01D1" w:rsidRPr="00A123CF" w:rsidRDefault="00FF01D1" w:rsidP="00F70915"/>
    <w:p w:rsidR="00B62BE2" w:rsidRPr="00C6672F" w:rsidRDefault="00C6672F" w:rsidP="00745DE3">
      <w:pPr>
        <w:numPr>
          <w:ilvl w:val="0"/>
          <w:numId w:val="1"/>
        </w:numPr>
        <w:rPr>
          <w:b/>
        </w:rPr>
      </w:pPr>
      <w:r>
        <w:rPr>
          <w:b/>
          <w:bCs/>
        </w:rPr>
        <w:t>A.O.B.</w:t>
      </w:r>
    </w:p>
    <w:p w:rsidR="00C6672F" w:rsidRPr="00A123CF" w:rsidRDefault="00C6672F" w:rsidP="00C6672F">
      <w:pPr>
        <w:ind w:left="360"/>
        <w:rPr>
          <w:b/>
        </w:rPr>
      </w:pPr>
    </w:p>
    <w:p w:rsidR="00B62BE2" w:rsidRPr="00A123CF" w:rsidRDefault="00B62BE2" w:rsidP="00515F28">
      <w:pPr>
        <w:ind w:left="360"/>
      </w:pPr>
      <w:r w:rsidRPr="00A123CF">
        <w:t xml:space="preserve">There </w:t>
      </w:r>
      <w:r w:rsidR="00BD75C8">
        <w:t>are</w:t>
      </w:r>
      <w:r w:rsidRPr="00A123CF">
        <w:t xml:space="preserve"> no further remarks from the GA.</w:t>
      </w:r>
    </w:p>
    <w:p w:rsidR="00B62BE2" w:rsidRPr="00A123CF" w:rsidRDefault="00B62BE2" w:rsidP="00F70915"/>
    <w:p w:rsidR="00B62BE2" w:rsidRPr="0080309C" w:rsidRDefault="00B62BE2">
      <w:pPr>
        <w:rPr>
          <w:sz w:val="22"/>
        </w:rPr>
      </w:pPr>
    </w:p>
    <w:sectPr w:rsidR="00B62BE2" w:rsidRPr="0080309C" w:rsidSect="00A123CF">
      <w:headerReference w:type="default" r:id="rId8"/>
      <w:footerReference w:type="default" r:id="rId9"/>
      <w:pgSz w:w="11906" w:h="16838" w:code="9"/>
      <w:pgMar w:top="1276"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08F" w:rsidRDefault="0043408F" w:rsidP="0080309C">
      <w:r>
        <w:separator/>
      </w:r>
    </w:p>
  </w:endnote>
  <w:endnote w:type="continuationSeparator" w:id="0">
    <w:p w:rsidR="0043408F" w:rsidRDefault="0043408F" w:rsidP="00803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80" w:rsidRDefault="009C2188">
    <w:pPr>
      <w:pStyle w:val="Footer"/>
      <w:jc w:val="center"/>
    </w:pPr>
    <w:r>
      <w:fldChar w:fldCharType="begin"/>
    </w:r>
    <w:r w:rsidR="00A73E80">
      <w:instrText xml:space="preserve"> PAGE   \* MERGEFORMAT </w:instrText>
    </w:r>
    <w:r>
      <w:fldChar w:fldCharType="separate"/>
    </w:r>
    <w:r w:rsidR="00003B1B">
      <w:rPr>
        <w:noProof/>
      </w:rPr>
      <w:t>5</w:t>
    </w:r>
    <w:r>
      <w:rPr>
        <w:noProof/>
      </w:rPr>
      <w:fldChar w:fldCharType="end"/>
    </w:r>
  </w:p>
  <w:p w:rsidR="00A73E80" w:rsidRDefault="00A73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08F" w:rsidRDefault="0043408F" w:rsidP="0080309C">
      <w:r>
        <w:separator/>
      </w:r>
    </w:p>
  </w:footnote>
  <w:footnote w:type="continuationSeparator" w:id="0">
    <w:p w:rsidR="0043408F" w:rsidRDefault="0043408F" w:rsidP="00803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80" w:rsidRDefault="00A73E80" w:rsidP="0080309C">
    <w:pPr>
      <w:pStyle w:val="Header"/>
      <w:tabs>
        <w:tab w:val="clear" w:pos="9026"/>
        <w:tab w:val="right" w:pos="9356"/>
      </w:tabs>
      <w:ind w:left="-284"/>
    </w:pPr>
    <w:r w:rsidRPr="00F270F3">
      <w:rPr>
        <w:b/>
        <w:bCs/>
        <w:i/>
        <w:iCs/>
      </w:rPr>
      <w:t>THE EUROPEAN SOCIETY FOR PHILOSOPHY OF MEDICINE AND HEALTH CARE</w:t>
    </w:r>
  </w:p>
  <w:p w:rsidR="00A73E80" w:rsidRDefault="00A73E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2DF"/>
    <w:multiLevelType w:val="hybridMultilevel"/>
    <w:tmpl w:val="CB761396"/>
    <w:lvl w:ilvl="0" w:tplc="0809000F">
      <w:start w:val="1"/>
      <w:numFmt w:val="decimal"/>
      <w:lvlText w:val="%1."/>
      <w:lvlJc w:val="left"/>
      <w:pPr>
        <w:tabs>
          <w:tab w:val="num" w:pos="360"/>
        </w:tabs>
        <w:ind w:left="360" w:hanging="360"/>
      </w:pPr>
      <w:rPr>
        <w:rFonts w:cs="Times New Roman"/>
      </w:rPr>
    </w:lvl>
    <w:lvl w:ilvl="1" w:tplc="0809000B">
      <w:start w:val="1"/>
      <w:numFmt w:val="bullet"/>
      <w:lvlText w:val=""/>
      <w:lvlJc w:val="left"/>
      <w:pPr>
        <w:tabs>
          <w:tab w:val="num" w:pos="1080"/>
        </w:tabs>
        <w:ind w:left="1080" w:hanging="360"/>
      </w:pPr>
      <w:rPr>
        <w:rFonts w:ascii="Wingdings" w:hAnsi="Wingdings"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nsid w:val="06B03E1E"/>
    <w:multiLevelType w:val="singleLevel"/>
    <w:tmpl w:val="935A5688"/>
    <w:lvl w:ilvl="0">
      <w:start w:val="1"/>
      <w:numFmt w:val="lowerLetter"/>
      <w:lvlText w:val="%1."/>
      <w:lvlJc w:val="left"/>
      <w:pPr>
        <w:tabs>
          <w:tab w:val="num" w:pos="360"/>
        </w:tabs>
        <w:ind w:left="360" w:hanging="360"/>
      </w:pPr>
      <w:rPr>
        <w:rFonts w:cs="Times New Roman"/>
      </w:rPr>
    </w:lvl>
  </w:abstractNum>
  <w:abstractNum w:abstractNumId="2">
    <w:nsid w:val="1D4A589F"/>
    <w:multiLevelType w:val="hybridMultilevel"/>
    <w:tmpl w:val="52B8EB9E"/>
    <w:lvl w:ilvl="0" w:tplc="B2DAF516">
      <w:start w:val="1"/>
      <w:numFmt w:val="lowerLetter"/>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9084D4A"/>
    <w:multiLevelType w:val="hybridMultilevel"/>
    <w:tmpl w:val="B87033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2B1502E7"/>
    <w:multiLevelType w:val="singleLevel"/>
    <w:tmpl w:val="0413000F"/>
    <w:lvl w:ilvl="0">
      <w:start w:val="1"/>
      <w:numFmt w:val="decimal"/>
      <w:lvlText w:val="%1."/>
      <w:lvlJc w:val="left"/>
      <w:pPr>
        <w:tabs>
          <w:tab w:val="num" w:pos="360"/>
        </w:tabs>
        <w:ind w:left="360" w:hanging="360"/>
      </w:pPr>
      <w:rPr>
        <w:rFonts w:cs="Times New Roman"/>
      </w:rPr>
    </w:lvl>
  </w:abstractNum>
  <w:abstractNum w:abstractNumId="5">
    <w:nsid w:val="3CE96C75"/>
    <w:multiLevelType w:val="hybridMultilevel"/>
    <w:tmpl w:val="43DC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E95CD7"/>
    <w:multiLevelType w:val="hybridMultilevel"/>
    <w:tmpl w:val="BD68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EA4479"/>
    <w:multiLevelType w:val="multilevel"/>
    <w:tmpl w:val="2026C69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7B401099"/>
    <w:multiLevelType w:val="singleLevel"/>
    <w:tmpl w:val="5964AB1E"/>
    <w:lvl w:ilvl="0">
      <w:start w:val="6"/>
      <w:numFmt w:val="bullet"/>
      <w:lvlText w:val="-"/>
      <w:lvlJc w:val="left"/>
      <w:pPr>
        <w:tabs>
          <w:tab w:val="num" w:pos="360"/>
        </w:tabs>
        <w:ind w:left="360" w:hanging="360"/>
      </w:pPr>
    </w:lvl>
  </w:abstractNum>
  <w:num w:numId="1">
    <w:abstractNumId w:val="4"/>
    <w:lvlOverride w:ilvl="0">
      <w:startOverride w:val="1"/>
    </w:lvlOverride>
  </w:num>
  <w:num w:numId="2">
    <w:abstractNumId w:val="1"/>
    <w:lvlOverride w:ilvl="0">
      <w:startOverride w:val="1"/>
    </w:lvlOverride>
  </w:num>
  <w:num w:numId="3">
    <w:abstractNumId w:val="8"/>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2"/>
  </w:num>
  <w:num w:numId="9">
    <w:abstractNumId w:val="7"/>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70915"/>
    <w:rsid w:val="000036D1"/>
    <w:rsid w:val="00003B1B"/>
    <w:rsid w:val="0000730D"/>
    <w:rsid w:val="00007E74"/>
    <w:rsid w:val="0001038A"/>
    <w:rsid w:val="00010B23"/>
    <w:rsid w:val="00010D69"/>
    <w:rsid w:val="00013E94"/>
    <w:rsid w:val="00020ACA"/>
    <w:rsid w:val="00027056"/>
    <w:rsid w:val="000320CE"/>
    <w:rsid w:val="00035C7C"/>
    <w:rsid w:val="0005299B"/>
    <w:rsid w:val="00061FBA"/>
    <w:rsid w:val="000709A1"/>
    <w:rsid w:val="00077A80"/>
    <w:rsid w:val="00077CA0"/>
    <w:rsid w:val="000807BD"/>
    <w:rsid w:val="000926AF"/>
    <w:rsid w:val="00093323"/>
    <w:rsid w:val="000A1DCD"/>
    <w:rsid w:val="000B5465"/>
    <w:rsid w:val="000B75FD"/>
    <w:rsid w:val="000D756D"/>
    <w:rsid w:val="000E6C2B"/>
    <w:rsid w:val="000F178D"/>
    <w:rsid w:val="000F643D"/>
    <w:rsid w:val="000F790B"/>
    <w:rsid w:val="00106DC9"/>
    <w:rsid w:val="00126757"/>
    <w:rsid w:val="00126ECA"/>
    <w:rsid w:val="0013073C"/>
    <w:rsid w:val="00137B94"/>
    <w:rsid w:val="0014194B"/>
    <w:rsid w:val="00147EE0"/>
    <w:rsid w:val="00150188"/>
    <w:rsid w:val="00152626"/>
    <w:rsid w:val="001539AB"/>
    <w:rsid w:val="00164864"/>
    <w:rsid w:val="00166A17"/>
    <w:rsid w:val="00166DE5"/>
    <w:rsid w:val="00172040"/>
    <w:rsid w:val="001734A0"/>
    <w:rsid w:val="001757D6"/>
    <w:rsid w:val="001858F7"/>
    <w:rsid w:val="00196B36"/>
    <w:rsid w:val="001A1BD1"/>
    <w:rsid w:val="001A276E"/>
    <w:rsid w:val="001A3A2E"/>
    <w:rsid w:val="001B02AB"/>
    <w:rsid w:val="001B3CC6"/>
    <w:rsid w:val="001C133B"/>
    <w:rsid w:val="001C4BF8"/>
    <w:rsid w:val="001D0373"/>
    <w:rsid w:val="001D0C60"/>
    <w:rsid w:val="001D47EB"/>
    <w:rsid w:val="001F0BC4"/>
    <w:rsid w:val="001F5BBB"/>
    <w:rsid w:val="00201F0A"/>
    <w:rsid w:val="0021458E"/>
    <w:rsid w:val="00216E4E"/>
    <w:rsid w:val="002246FB"/>
    <w:rsid w:val="00233686"/>
    <w:rsid w:val="002446A1"/>
    <w:rsid w:val="00244A19"/>
    <w:rsid w:val="002626A5"/>
    <w:rsid w:val="00262B71"/>
    <w:rsid w:val="00267018"/>
    <w:rsid w:val="00272D98"/>
    <w:rsid w:val="00274EF1"/>
    <w:rsid w:val="00276255"/>
    <w:rsid w:val="00276E47"/>
    <w:rsid w:val="00280032"/>
    <w:rsid w:val="00286C94"/>
    <w:rsid w:val="00290187"/>
    <w:rsid w:val="00293985"/>
    <w:rsid w:val="002967F9"/>
    <w:rsid w:val="002A0E54"/>
    <w:rsid w:val="002A6414"/>
    <w:rsid w:val="002A7340"/>
    <w:rsid w:val="002A7669"/>
    <w:rsid w:val="002B085A"/>
    <w:rsid w:val="002B1B42"/>
    <w:rsid w:val="002B1D60"/>
    <w:rsid w:val="002E277D"/>
    <w:rsid w:val="002E3DC3"/>
    <w:rsid w:val="002E45AE"/>
    <w:rsid w:val="002E45F5"/>
    <w:rsid w:val="002F3DF7"/>
    <w:rsid w:val="00311A39"/>
    <w:rsid w:val="00311C81"/>
    <w:rsid w:val="003136E8"/>
    <w:rsid w:val="003204E7"/>
    <w:rsid w:val="00323E2E"/>
    <w:rsid w:val="0032673B"/>
    <w:rsid w:val="00326A4C"/>
    <w:rsid w:val="00333827"/>
    <w:rsid w:val="00333BCB"/>
    <w:rsid w:val="00335DEA"/>
    <w:rsid w:val="00340030"/>
    <w:rsid w:val="00353F29"/>
    <w:rsid w:val="00354047"/>
    <w:rsid w:val="003703FA"/>
    <w:rsid w:val="00390EDE"/>
    <w:rsid w:val="003A20A3"/>
    <w:rsid w:val="003A3A2F"/>
    <w:rsid w:val="003B3E60"/>
    <w:rsid w:val="003C2C69"/>
    <w:rsid w:val="003C31B6"/>
    <w:rsid w:val="003C50D6"/>
    <w:rsid w:val="003C598F"/>
    <w:rsid w:val="003D3AB7"/>
    <w:rsid w:val="004006A2"/>
    <w:rsid w:val="004025A7"/>
    <w:rsid w:val="00410291"/>
    <w:rsid w:val="00413E08"/>
    <w:rsid w:val="00421046"/>
    <w:rsid w:val="00426423"/>
    <w:rsid w:val="00426C47"/>
    <w:rsid w:val="0042719D"/>
    <w:rsid w:val="004272B0"/>
    <w:rsid w:val="0043408F"/>
    <w:rsid w:val="004377A4"/>
    <w:rsid w:val="004441B3"/>
    <w:rsid w:val="004607E2"/>
    <w:rsid w:val="00465178"/>
    <w:rsid w:val="004677FF"/>
    <w:rsid w:val="00484BEC"/>
    <w:rsid w:val="004874F3"/>
    <w:rsid w:val="00493295"/>
    <w:rsid w:val="004A6E73"/>
    <w:rsid w:val="004A77F4"/>
    <w:rsid w:val="004B6973"/>
    <w:rsid w:val="004C0A1B"/>
    <w:rsid w:val="004C0C37"/>
    <w:rsid w:val="004C1326"/>
    <w:rsid w:val="004D2547"/>
    <w:rsid w:val="004D31D6"/>
    <w:rsid w:val="004E01FF"/>
    <w:rsid w:val="004F146D"/>
    <w:rsid w:val="004F1583"/>
    <w:rsid w:val="004F1792"/>
    <w:rsid w:val="004F2B69"/>
    <w:rsid w:val="004F5BDE"/>
    <w:rsid w:val="00503D2C"/>
    <w:rsid w:val="00504CD6"/>
    <w:rsid w:val="00510D57"/>
    <w:rsid w:val="00511BFC"/>
    <w:rsid w:val="00515F28"/>
    <w:rsid w:val="00552FDD"/>
    <w:rsid w:val="0055416B"/>
    <w:rsid w:val="00554251"/>
    <w:rsid w:val="00554944"/>
    <w:rsid w:val="00557932"/>
    <w:rsid w:val="00557FEF"/>
    <w:rsid w:val="0056123C"/>
    <w:rsid w:val="00562E7E"/>
    <w:rsid w:val="005659D3"/>
    <w:rsid w:val="00575200"/>
    <w:rsid w:val="005773AA"/>
    <w:rsid w:val="00580F48"/>
    <w:rsid w:val="005829FB"/>
    <w:rsid w:val="00584372"/>
    <w:rsid w:val="0059581D"/>
    <w:rsid w:val="005A4A2C"/>
    <w:rsid w:val="005A500A"/>
    <w:rsid w:val="005B2F4B"/>
    <w:rsid w:val="005B48C6"/>
    <w:rsid w:val="005C2EA8"/>
    <w:rsid w:val="005C3F6F"/>
    <w:rsid w:val="005C424A"/>
    <w:rsid w:val="005D1B0C"/>
    <w:rsid w:val="005D2B87"/>
    <w:rsid w:val="005D4320"/>
    <w:rsid w:val="005D6E79"/>
    <w:rsid w:val="005E0B5B"/>
    <w:rsid w:val="005F05A4"/>
    <w:rsid w:val="00601804"/>
    <w:rsid w:val="0060287B"/>
    <w:rsid w:val="0062152A"/>
    <w:rsid w:val="00632F4D"/>
    <w:rsid w:val="006537F5"/>
    <w:rsid w:val="00656340"/>
    <w:rsid w:val="0066254C"/>
    <w:rsid w:val="00666858"/>
    <w:rsid w:val="006675CA"/>
    <w:rsid w:val="00670720"/>
    <w:rsid w:val="006770A9"/>
    <w:rsid w:val="00677E31"/>
    <w:rsid w:val="006820C6"/>
    <w:rsid w:val="0068493D"/>
    <w:rsid w:val="00694245"/>
    <w:rsid w:val="0069629F"/>
    <w:rsid w:val="00697E0C"/>
    <w:rsid w:val="006B5695"/>
    <w:rsid w:val="006C30E3"/>
    <w:rsid w:val="006D1FE4"/>
    <w:rsid w:val="006D445E"/>
    <w:rsid w:val="006D56C9"/>
    <w:rsid w:val="006D7C0D"/>
    <w:rsid w:val="006E6B61"/>
    <w:rsid w:val="0071760E"/>
    <w:rsid w:val="007219D6"/>
    <w:rsid w:val="00725EC0"/>
    <w:rsid w:val="007378AA"/>
    <w:rsid w:val="00741BA8"/>
    <w:rsid w:val="007444F0"/>
    <w:rsid w:val="00745DE3"/>
    <w:rsid w:val="00753BF5"/>
    <w:rsid w:val="00765A4E"/>
    <w:rsid w:val="00767ECB"/>
    <w:rsid w:val="00772C35"/>
    <w:rsid w:val="0078345D"/>
    <w:rsid w:val="0078462B"/>
    <w:rsid w:val="00795194"/>
    <w:rsid w:val="007A6168"/>
    <w:rsid w:val="007B1CAE"/>
    <w:rsid w:val="007B738A"/>
    <w:rsid w:val="007D3203"/>
    <w:rsid w:val="007D4179"/>
    <w:rsid w:val="007E7714"/>
    <w:rsid w:val="007F553F"/>
    <w:rsid w:val="007F57F4"/>
    <w:rsid w:val="0080309C"/>
    <w:rsid w:val="00812658"/>
    <w:rsid w:val="0081388F"/>
    <w:rsid w:val="00815E45"/>
    <w:rsid w:val="00820BCF"/>
    <w:rsid w:val="0083166F"/>
    <w:rsid w:val="00832A92"/>
    <w:rsid w:val="00844C51"/>
    <w:rsid w:val="00847BB0"/>
    <w:rsid w:val="0085499C"/>
    <w:rsid w:val="00855A56"/>
    <w:rsid w:val="008755C5"/>
    <w:rsid w:val="008824E0"/>
    <w:rsid w:val="00891BF0"/>
    <w:rsid w:val="00892FC2"/>
    <w:rsid w:val="008A0491"/>
    <w:rsid w:val="008A5E7D"/>
    <w:rsid w:val="008B1E93"/>
    <w:rsid w:val="008C3CC6"/>
    <w:rsid w:val="008D0ABA"/>
    <w:rsid w:val="008D2641"/>
    <w:rsid w:val="008D6C40"/>
    <w:rsid w:val="008E1EEE"/>
    <w:rsid w:val="008E7DB0"/>
    <w:rsid w:val="008F0A30"/>
    <w:rsid w:val="008F1A27"/>
    <w:rsid w:val="008F517D"/>
    <w:rsid w:val="008F645F"/>
    <w:rsid w:val="009000D8"/>
    <w:rsid w:val="0090048C"/>
    <w:rsid w:val="00904A77"/>
    <w:rsid w:val="009124BA"/>
    <w:rsid w:val="00916C2C"/>
    <w:rsid w:val="00930370"/>
    <w:rsid w:val="009369BD"/>
    <w:rsid w:val="00944269"/>
    <w:rsid w:val="00963B0D"/>
    <w:rsid w:val="00985A9E"/>
    <w:rsid w:val="00986748"/>
    <w:rsid w:val="009A2AD6"/>
    <w:rsid w:val="009A2D6F"/>
    <w:rsid w:val="009A37E7"/>
    <w:rsid w:val="009A7C7D"/>
    <w:rsid w:val="009B0E2C"/>
    <w:rsid w:val="009B3880"/>
    <w:rsid w:val="009C033A"/>
    <w:rsid w:val="009C2188"/>
    <w:rsid w:val="009C3486"/>
    <w:rsid w:val="009C53E0"/>
    <w:rsid w:val="009D173E"/>
    <w:rsid w:val="00A11186"/>
    <w:rsid w:val="00A123CF"/>
    <w:rsid w:val="00A17926"/>
    <w:rsid w:val="00A20575"/>
    <w:rsid w:val="00A26366"/>
    <w:rsid w:val="00A26C6E"/>
    <w:rsid w:val="00A360ED"/>
    <w:rsid w:val="00A43BE8"/>
    <w:rsid w:val="00A60267"/>
    <w:rsid w:val="00A61F10"/>
    <w:rsid w:val="00A6674A"/>
    <w:rsid w:val="00A67F15"/>
    <w:rsid w:val="00A70C1C"/>
    <w:rsid w:val="00A73E80"/>
    <w:rsid w:val="00A760B7"/>
    <w:rsid w:val="00A77CFA"/>
    <w:rsid w:val="00A80241"/>
    <w:rsid w:val="00A84E76"/>
    <w:rsid w:val="00AA2832"/>
    <w:rsid w:val="00AA488E"/>
    <w:rsid w:val="00AB09F8"/>
    <w:rsid w:val="00AC1DB6"/>
    <w:rsid w:val="00AE153B"/>
    <w:rsid w:val="00AE404D"/>
    <w:rsid w:val="00AF119D"/>
    <w:rsid w:val="00AF52F9"/>
    <w:rsid w:val="00B02912"/>
    <w:rsid w:val="00B42862"/>
    <w:rsid w:val="00B515B3"/>
    <w:rsid w:val="00B522C3"/>
    <w:rsid w:val="00B5360A"/>
    <w:rsid w:val="00B55167"/>
    <w:rsid w:val="00B62BE2"/>
    <w:rsid w:val="00B63BEB"/>
    <w:rsid w:val="00B7051F"/>
    <w:rsid w:val="00B77619"/>
    <w:rsid w:val="00B82821"/>
    <w:rsid w:val="00B90176"/>
    <w:rsid w:val="00B94C2C"/>
    <w:rsid w:val="00BA3843"/>
    <w:rsid w:val="00BB5611"/>
    <w:rsid w:val="00BC3937"/>
    <w:rsid w:val="00BD49CB"/>
    <w:rsid w:val="00BD75C8"/>
    <w:rsid w:val="00BE1D34"/>
    <w:rsid w:val="00BF1071"/>
    <w:rsid w:val="00C11F32"/>
    <w:rsid w:val="00C144F8"/>
    <w:rsid w:val="00C1608B"/>
    <w:rsid w:val="00C27300"/>
    <w:rsid w:val="00C27D82"/>
    <w:rsid w:val="00C31E87"/>
    <w:rsid w:val="00C373E5"/>
    <w:rsid w:val="00C44D35"/>
    <w:rsid w:val="00C52AD6"/>
    <w:rsid w:val="00C65303"/>
    <w:rsid w:val="00C65C7F"/>
    <w:rsid w:val="00C6672F"/>
    <w:rsid w:val="00C676A8"/>
    <w:rsid w:val="00C677DE"/>
    <w:rsid w:val="00C85883"/>
    <w:rsid w:val="00C85B61"/>
    <w:rsid w:val="00CA4C89"/>
    <w:rsid w:val="00CB1FDD"/>
    <w:rsid w:val="00CC3B54"/>
    <w:rsid w:val="00CC71C6"/>
    <w:rsid w:val="00CD206B"/>
    <w:rsid w:val="00CD3538"/>
    <w:rsid w:val="00CD67EB"/>
    <w:rsid w:val="00CE22D3"/>
    <w:rsid w:val="00CF4026"/>
    <w:rsid w:val="00CF71B5"/>
    <w:rsid w:val="00D062A2"/>
    <w:rsid w:val="00D07553"/>
    <w:rsid w:val="00D108E6"/>
    <w:rsid w:val="00D22444"/>
    <w:rsid w:val="00D30340"/>
    <w:rsid w:val="00D30EDB"/>
    <w:rsid w:val="00D35FEF"/>
    <w:rsid w:val="00D37C2A"/>
    <w:rsid w:val="00D41476"/>
    <w:rsid w:val="00D53C43"/>
    <w:rsid w:val="00D80ABC"/>
    <w:rsid w:val="00D90EB4"/>
    <w:rsid w:val="00D915A6"/>
    <w:rsid w:val="00D94FE9"/>
    <w:rsid w:val="00DA0A9F"/>
    <w:rsid w:val="00DA23DB"/>
    <w:rsid w:val="00DA262C"/>
    <w:rsid w:val="00DA38F3"/>
    <w:rsid w:val="00DA5FB7"/>
    <w:rsid w:val="00DB2B99"/>
    <w:rsid w:val="00DC7E7C"/>
    <w:rsid w:val="00DD7184"/>
    <w:rsid w:val="00DE5009"/>
    <w:rsid w:val="00DE577C"/>
    <w:rsid w:val="00DF22E6"/>
    <w:rsid w:val="00DF5B97"/>
    <w:rsid w:val="00E04B41"/>
    <w:rsid w:val="00E23B3B"/>
    <w:rsid w:val="00E26C8A"/>
    <w:rsid w:val="00E43C51"/>
    <w:rsid w:val="00E52184"/>
    <w:rsid w:val="00E61C5A"/>
    <w:rsid w:val="00E660BB"/>
    <w:rsid w:val="00E737EF"/>
    <w:rsid w:val="00E73D49"/>
    <w:rsid w:val="00E7439B"/>
    <w:rsid w:val="00E957CD"/>
    <w:rsid w:val="00E9716F"/>
    <w:rsid w:val="00EA5F43"/>
    <w:rsid w:val="00EC01CA"/>
    <w:rsid w:val="00ED68A3"/>
    <w:rsid w:val="00ED7986"/>
    <w:rsid w:val="00EF39A3"/>
    <w:rsid w:val="00EF6DCE"/>
    <w:rsid w:val="00EF7BA6"/>
    <w:rsid w:val="00F00AC6"/>
    <w:rsid w:val="00F00D81"/>
    <w:rsid w:val="00F065DC"/>
    <w:rsid w:val="00F106BF"/>
    <w:rsid w:val="00F1076C"/>
    <w:rsid w:val="00F22867"/>
    <w:rsid w:val="00F2425D"/>
    <w:rsid w:val="00F30075"/>
    <w:rsid w:val="00F36EC7"/>
    <w:rsid w:val="00F375C3"/>
    <w:rsid w:val="00F43919"/>
    <w:rsid w:val="00F530E0"/>
    <w:rsid w:val="00F53150"/>
    <w:rsid w:val="00F55941"/>
    <w:rsid w:val="00F62F77"/>
    <w:rsid w:val="00F7081A"/>
    <w:rsid w:val="00F70915"/>
    <w:rsid w:val="00F70E4B"/>
    <w:rsid w:val="00F74CD8"/>
    <w:rsid w:val="00F806FC"/>
    <w:rsid w:val="00F80D75"/>
    <w:rsid w:val="00F870A0"/>
    <w:rsid w:val="00F90131"/>
    <w:rsid w:val="00F902E4"/>
    <w:rsid w:val="00F94955"/>
    <w:rsid w:val="00FB4EA6"/>
    <w:rsid w:val="00FC087F"/>
    <w:rsid w:val="00FC4977"/>
    <w:rsid w:val="00FD4A62"/>
    <w:rsid w:val="00FD6574"/>
    <w:rsid w:val="00FE3F00"/>
    <w:rsid w:val="00FF01D1"/>
    <w:rsid w:val="00FF65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2E4"/>
    <w:pPr>
      <w:jc w:val="both"/>
    </w:pPr>
    <w:rPr>
      <w:rFonts w:cs="Times New Roman"/>
      <w:sz w:val="24"/>
      <w:szCs w:val="22"/>
      <w:lang w:eastAsia="en-US"/>
    </w:rPr>
  </w:style>
  <w:style w:type="paragraph" w:styleId="Heading1">
    <w:name w:val="heading 1"/>
    <w:basedOn w:val="Normal"/>
    <w:next w:val="Normal"/>
    <w:link w:val="Heading1Char"/>
    <w:uiPriority w:val="99"/>
    <w:qFormat/>
    <w:rsid w:val="00F902E4"/>
    <w:pPr>
      <w:keepNext/>
      <w:keepLines/>
      <w:spacing w:before="480" w:after="480"/>
      <w:outlineLvl w:val="0"/>
    </w:pPr>
    <w:rPr>
      <w:rFonts w:eastAsia="Times New Roman"/>
      <w:b/>
      <w:bCs/>
      <w:szCs w:val="28"/>
    </w:rPr>
  </w:style>
  <w:style w:type="paragraph" w:styleId="Heading2">
    <w:name w:val="heading 2"/>
    <w:basedOn w:val="Normal"/>
    <w:next w:val="Normal"/>
    <w:link w:val="Heading2Char"/>
    <w:uiPriority w:val="99"/>
    <w:qFormat/>
    <w:rsid w:val="00F902E4"/>
    <w:pPr>
      <w:keepNext/>
      <w:keepLines/>
      <w:spacing w:before="240" w:after="24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2E4"/>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F902E4"/>
    <w:rPr>
      <w:rFonts w:ascii="Times New Roman" w:hAnsi="Times New Roman" w:cs="Times New Roman"/>
      <w:b/>
      <w:bCs/>
      <w:sz w:val="26"/>
      <w:szCs w:val="26"/>
    </w:rPr>
  </w:style>
  <w:style w:type="paragraph" w:customStyle="1" w:styleId="Footnote">
    <w:name w:val="Footnote"/>
    <w:link w:val="FootnoteChar"/>
    <w:autoRedefine/>
    <w:uiPriority w:val="99"/>
    <w:rsid w:val="00F902E4"/>
    <w:rPr>
      <w:rFonts w:cs="Times New Roman"/>
      <w:smallCaps/>
      <w:color w:val="000000"/>
      <w:sz w:val="16"/>
      <w:szCs w:val="24"/>
      <w:lang w:val="en-US" w:eastAsia="en-US"/>
    </w:rPr>
  </w:style>
  <w:style w:type="paragraph" w:styleId="FootnoteText">
    <w:name w:val="footnote text"/>
    <w:basedOn w:val="Normal"/>
    <w:link w:val="FootnoteTextChar"/>
    <w:uiPriority w:val="99"/>
    <w:semiHidden/>
    <w:rsid w:val="003C31B6"/>
    <w:rPr>
      <w:sz w:val="20"/>
      <w:szCs w:val="20"/>
    </w:rPr>
  </w:style>
  <w:style w:type="character" w:customStyle="1" w:styleId="FootnoteTextChar">
    <w:name w:val="Footnote Text Char"/>
    <w:basedOn w:val="DefaultParagraphFont"/>
    <w:link w:val="FootnoteText"/>
    <w:uiPriority w:val="99"/>
    <w:semiHidden/>
    <w:locked/>
    <w:rsid w:val="003C31B6"/>
    <w:rPr>
      <w:rFonts w:ascii="Times New Roman" w:hAnsi="Times New Roman" w:cs="Times New Roman"/>
      <w:sz w:val="20"/>
      <w:szCs w:val="20"/>
    </w:rPr>
  </w:style>
  <w:style w:type="character" w:customStyle="1" w:styleId="FootnoteChar">
    <w:name w:val="Footnote Char"/>
    <w:basedOn w:val="FootnoteTextChar"/>
    <w:link w:val="Footnote"/>
    <w:uiPriority w:val="99"/>
    <w:locked/>
    <w:rsid w:val="00F902E4"/>
    <w:rPr>
      <w:rFonts w:ascii="Times New Roman" w:hAnsi="Times New Roman" w:cs="Times New Roman"/>
      <w:smallCaps/>
      <w:color w:val="000000"/>
      <w:sz w:val="16"/>
      <w:szCs w:val="24"/>
      <w:lang w:val="en-US" w:eastAsia="en-US" w:bidi="ar-SA"/>
    </w:rPr>
  </w:style>
  <w:style w:type="paragraph" w:styleId="ListParagraph">
    <w:name w:val="List Paragraph"/>
    <w:basedOn w:val="Normal"/>
    <w:uiPriority w:val="99"/>
    <w:qFormat/>
    <w:rsid w:val="00164864"/>
    <w:pPr>
      <w:ind w:left="720"/>
      <w:contextualSpacing/>
    </w:pPr>
  </w:style>
  <w:style w:type="character" w:styleId="Hyperlink">
    <w:name w:val="Hyperlink"/>
    <w:basedOn w:val="DefaultParagraphFont"/>
    <w:uiPriority w:val="99"/>
    <w:rsid w:val="00290187"/>
    <w:rPr>
      <w:rFonts w:cs="Times New Roman"/>
      <w:color w:val="0000FF"/>
      <w:u w:val="single"/>
    </w:rPr>
  </w:style>
  <w:style w:type="character" w:styleId="FollowedHyperlink">
    <w:name w:val="FollowedHyperlink"/>
    <w:basedOn w:val="DefaultParagraphFont"/>
    <w:uiPriority w:val="99"/>
    <w:rsid w:val="004006A2"/>
    <w:rPr>
      <w:rFonts w:cs="Times New Roman"/>
      <w:color w:val="800080"/>
      <w:u w:val="single"/>
    </w:rPr>
  </w:style>
  <w:style w:type="paragraph" w:styleId="Header">
    <w:name w:val="header"/>
    <w:basedOn w:val="Normal"/>
    <w:link w:val="HeaderChar"/>
    <w:unhideWhenUsed/>
    <w:rsid w:val="0080309C"/>
    <w:pPr>
      <w:tabs>
        <w:tab w:val="center" w:pos="4513"/>
        <w:tab w:val="right" w:pos="9026"/>
      </w:tabs>
    </w:pPr>
  </w:style>
  <w:style w:type="character" w:customStyle="1" w:styleId="HeaderChar">
    <w:name w:val="Header Char"/>
    <w:basedOn w:val="DefaultParagraphFont"/>
    <w:link w:val="Header"/>
    <w:rsid w:val="0080309C"/>
    <w:rPr>
      <w:rFonts w:cs="Times New Roman"/>
      <w:sz w:val="24"/>
      <w:lang w:val="en-GB" w:eastAsia="en-US"/>
    </w:rPr>
  </w:style>
  <w:style w:type="paragraph" w:styleId="Footer">
    <w:name w:val="footer"/>
    <w:basedOn w:val="Normal"/>
    <w:link w:val="FooterChar"/>
    <w:uiPriority w:val="99"/>
    <w:unhideWhenUsed/>
    <w:rsid w:val="0080309C"/>
    <w:pPr>
      <w:tabs>
        <w:tab w:val="center" w:pos="4513"/>
        <w:tab w:val="right" w:pos="9026"/>
      </w:tabs>
    </w:pPr>
  </w:style>
  <w:style w:type="character" w:customStyle="1" w:styleId="FooterChar">
    <w:name w:val="Footer Char"/>
    <w:basedOn w:val="DefaultParagraphFont"/>
    <w:link w:val="Footer"/>
    <w:uiPriority w:val="99"/>
    <w:rsid w:val="0080309C"/>
    <w:rPr>
      <w:rFonts w:cs="Times New Roman"/>
      <w:sz w:val="24"/>
      <w:lang w:val="en-GB" w:eastAsia="en-US"/>
    </w:rPr>
  </w:style>
  <w:style w:type="paragraph" w:customStyle="1" w:styleId="Lijstalinea1">
    <w:name w:val="Lijstalinea1"/>
    <w:basedOn w:val="Normal"/>
    <w:uiPriority w:val="99"/>
    <w:rsid w:val="005C3F6F"/>
    <w:pPr>
      <w:ind w:left="720"/>
      <w:contextualSpacing/>
    </w:pPr>
    <w:rPr>
      <w:rFonts w:eastAsia="Times New Roman"/>
      <w:sz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902E4"/>
    <w:pPr>
      <w:jc w:val="both"/>
    </w:pPr>
    <w:rPr>
      <w:rFonts w:cs="Times New Roman"/>
      <w:sz w:val="24"/>
      <w:szCs w:val="22"/>
      <w:lang w:eastAsia="en-US"/>
    </w:rPr>
  </w:style>
  <w:style w:type="paragraph" w:styleId="Kop1">
    <w:name w:val="heading 1"/>
    <w:basedOn w:val="Normaal"/>
    <w:next w:val="Normaal"/>
    <w:link w:val="Kop1Teken"/>
    <w:uiPriority w:val="99"/>
    <w:qFormat/>
    <w:rsid w:val="00F902E4"/>
    <w:pPr>
      <w:keepNext/>
      <w:keepLines/>
      <w:spacing w:before="480" w:after="480"/>
      <w:outlineLvl w:val="0"/>
    </w:pPr>
    <w:rPr>
      <w:rFonts w:eastAsia="Times New Roman"/>
      <w:b/>
      <w:bCs/>
      <w:szCs w:val="28"/>
    </w:rPr>
  </w:style>
  <w:style w:type="paragraph" w:styleId="Kop2">
    <w:name w:val="heading 2"/>
    <w:basedOn w:val="Normaal"/>
    <w:next w:val="Normaal"/>
    <w:link w:val="Kop2Teken"/>
    <w:uiPriority w:val="99"/>
    <w:qFormat/>
    <w:rsid w:val="00F902E4"/>
    <w:pPr>
      <w:keepNext/>
      <w:keepLines/>
      <w:spacing w:before="240" w:after="240"/>
      <w:outlineLvl w:val="1"/>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Heading 1 Char"/>
    <w:basedOn w:val="Standaardalinea-lettertype"/>
    <w:link w:val="Kop1"/>
    <w:uiPriority w:val="99"/>
    <w:locked/>
    <w:rsid w:val="00F902E4"/>
    <w:rPr>
      <w:rFonts w:ascii="Times New Roman" w:hAnsi="Times New Roman" w:cs="Times New Roman"/>
      <w:b/>
      <w:bCs/>
      <w:sz w:val="28"/>
      <w:szCs w:val="28"/>
    </w:rPr>
  </w:style>
  <w:style w:type="character" w:customStyle="1" w:styleId="Kop2Teken">
    <w:name w:val="Heading 2 Char"/>
    <w:basedOn w:val="Standaardalinea-lettertype"/>
    <w:link w:val="Kop2"/>
    <w:uiPriority w:val="99"/>
    <w:locked/>
    <w:rsid w:val="00F902E4"/>
    <w:rPr>
      <w:rFonts w:ascii="Times New Roman" w:hAnsi="Times New Roman" w:cs="Times New Roman"/>
      <w:b/>
      <w:bCs/>
      <w:sz w:val="26"/>
      <w:szCs w:val="26"/>
    </w:rPr>
  </w:style>
  <w:style w:type="paragraph" w:customStyle="1" w:styleId="Footnote">
    <w:name w:val="Footnote"/>
    <w:link w:val="FootnoteChar"/>
    <w:autoRedefine/>
    <w:uiPriority w:val="99"/>
    <w:rsid w:val="00F902E4"/>
    <w:rPr>
      <w:rFonts w:cs="Times New Roman"/>
      <w:smallCaps/>
      <w:color w:val="000000"/>
      <w:sz w:val="16"/>
      <w:szCs w:val="24"/>
      <w:lang w:val="en-US" w:eastAsia="en-US"/>
    </w:rPr>
  </w:style>
  <w:style w:type="paragraph" w:styleId="Voetnoottekst">
    <w:name w:val="footnote text"/>
    <w:basedOn w:val="Normaal"/>
    <w:link w:val="VoetnoottekstTeken"/>
    <w:uiPriority w:val="99"/>
    <w:semiHidden/>
    <w:rsid w:val="003C31B6"/>
    <w:rPr>
      <w:sz w:val="20"/>
      <w:szCs w:val="20"/>
    </w:rPr>
  </w:style>
  <w:style w:type="character" w:customStyle="1" w:styleId="VoetnoottekstTeken">
    <w:name w:val="Footnote Text Char"/>
    <w:basedOn w:val="Standaardalinea-lettertype"/>
    <w:link w:val="Voetnoottekst"/>
    <w:uiPriority w:val="99"/>
    <w:semiHidden/>
    <w:locked/>
    <w:rsid w:val="003C31B6"/>
    <w:rPr>
      <w:rFonts w:ascii="Times New Roman" w:hAnsi="Times New Roman" w:cs="Times New Roman"/>
      <w:sz w:val="20"/>
      <w:szCs w:val="20"/>
    </w:rPr>
  </w:style>
  <w:style w:type="character" w:customStyle="1" w:styleId="FootnoteChar">
    <w:name w:val="Footnote Char"/>
    <w:basedOn w:val="VoetnoottekstTeken"/>
    <w:link w:val="Footnote"/>
    <w:uiPriority w:val="99"/>
    <w:locked/>
    <w:rsid w:val="00F902E4"/>
    <w:rPr>
      <w:rFonts w:ascii="Times New Roman" w:hAnsi="Times New Roman" w:cs="Times New Roman"/>
      <w:smallCaps/>
      <w:color w:val="000000"/>
      <w:sz w:val="16"/>
      <w:szCs w:val="24"/>
      <w:lang w:val="en-US" w:eastAsia="en-US" w:bidi="ar-SA"/>
    </w:rPr>
  </w:style>
  <w:style w:type="paragraph" w:styleId="Lijstalinea">
    <w:name w:val="List Paragraph"/>
    <w:basedOn w:val="Normaal"/>
    <w:uiPriority w:val="99"/>
    <w:qFormat/>
    <w:rsid w:val="00164864"/>
    <w:pPr>
      <w:ind w:left="720"/>
      <w:contextualSpacing/>
    </w:pPr>
  </w:style>
  <w:style w:type="character" w:styleId="Hyperlink">
    <w:name w:val="Hyperlink"/>
    <w:basedOn w:val="Standaardalinea-lettertype"/>
    <w:uiPriority w:val="99"/>
    <w:rsid w:val="00290187"/>
    <w:rPr>
      <w:rFonts w:cs="Times New Roman"/>
      <w:color w:val="0000FF"/>
      <w:u w:val="single"/>
    </w:rPr>
  </w:style>
  <w:style w:type="character" w:styleId="GevolgdeHyperlink">
    <w:name w:val="FollowedHyperlink"/>
    <w:basedOn w:val="Standaardalinea-lettertype"/>
    <w:uiPriority w:val="99"/>
    <w:rsid w:val="004006A2"/>
    <w:rPr>
      <w:rFonts w:cs="Times New Roman"/>
      <w:color w:val="800080"/>
      <w:u w:val="single"/>
    </w:rPr>
  </w:style>
  <w:style w:type="paragraph" w:styleId="Koptekst">
    <w:name w:val="header"/>
    <w:basedOn w:val="Normaal"/>
    <w:link w:val="KoptekstTeken"/>
    <w:unhideWhenUsed/>
    <w:rsid w:val="0080309C"/>
    <w:pPr>
      <w:tabs>
        <w:tab w:val="center" w:pos="4513"/>
        <w:tab w:val="right" w:pos="9026"/>
      </w:tabs>
    </w:pPr>
  </w:style>
  <w:style w:type="character" w:customStyle="1" w:styleId="KoptekstTeken">
    <w:name w:val="Header Char"/>
    <w:basedOn w:val="Standaardalinea-lettertype"/>
    <w:link w:val="Koptekst"/>
    <w:rsid w:val="0080309C"/>
    <w:rPr>
      <w:rFonts w:cs="Times New Roman"/>
      <w:sz w:val="24"/>
      <w:lang w:val="en-GB" w:eastAsia="en-US"/>
    </w:rPr>
  </w:style>
  <w:style w:type="paragraph" w:styleId="Voettekst">
    <w:name w:val="footer"/>
    <w:basedOn w:val="Normaal"/>
    <w:link w:val="VoettekstTeken"/>
    <w:uiPriority w:val="99"/>
    <w:unhideWhenUsed/>
    <w:rsid w:val="0080309C"/>
    <w:pPr>
      <w:tabs>
        <w:tab w:val="center" w:pos="4513"/>
        <w:tab w:val="right" w:pos="9026"/>
      </w:tabs>
    </w:pPr>
  </w:style>
  <w:style w:type="character" w:customStyle="1" w:styleId="VoettekstTeken">
    <w:name w:val="Footer Char"/>
    <w:basedOn w:val="Standaardalinea-lettertype"/>
    <w:link w:val="Voettekst"/>
    <w:uiPriority w:val="99"/>
    <w:rsid w:val="0080309C"/>
    <w:rPr>
      <w:rFonts w:cs="Times New Roman"/>
      <w:sz w:val="24"/>
      <w:lang w:val="en-GB" w:eastAsia="en-US"/>
    </w:rPr>
  </w:style>
  <w:style w:type="paragraph" w:customStyle="1" w:styleId="Lijstalinea1">
    <w:name w:val="Lijstalinea1"/>
    <w:basedOn w:val="Normaal"/>
    <w:uiPriority w:val="99"/>
    <w:rsid w:val="005C3F6F"/>
    <w:pPr>
      <w:ind w:left="720"/>
      <w:contextualSpacing/>
    </w:pPr>
    <w:rPr>
      <w:rFonts w:eastAsia="Times New Roman"/>
      <w:sz w:val="22"/>
      <w:lang w:val="en-US"/>
    </w:rPr>
  </w:style>
</w:styles>
</file>

<file path=word/webSettings.xml><?xml version="1.0" encoding="utf-8"?>
<w:webSettings xmlns:r="http://schemas.openxmlformats.org/officeDocument/2006/relationships" xmlns:w="http://schemas.openxmlformats.org/wordprocessingml/2006/main">
  <w:divs>
    <w:div w:id="107894986">
      <w:marLeft w:val="0"/>
      <w:marRight w:val="0"/>
      <w:marTop w:val="0"/>
      <w:marBottom w:val="0"/>
      <w:divBdr>
        <w:top w:val="none" w:sz="0" w:space="0" w:color="auto"/>
        <w:left w:val="none" w:sz="0" w:space="0" w:color="auto"/>
        <w:bottom w:val="none" w:sz="0" w:space="0" w:color="auto"/>
        <w:right w:val="none" w:sz="0" w:space="0" w:color="auto"/>
      </w:divBdr>
    </w:div>
    <w:div w:id="107894987">
      <w:marLeft w:val="0"/>
      <w:marRight w:val="0"/>
      <w:marTop w:val="0"/>
      <w:marBottom w:val="0"/>
      <w:divBdr>
        <w:top w:val="none" w:sz="0" w:space="0" w:color="auto"/>
        <w:left w:val="none" w:sz="0" w:space="0" w:color="auto"/>
        <w:bottom w:val="none" w:sz="0" w:space="0" w:color="auto"/>
        <w:right w:val="none" w:sz="0" w:space="0" w:color="auto"/>
      </w:divBdr>
    </w:div>
    <w:div w:id="107894988">
      <w:marLeft w:val="0"/>
      <w:marRight w:val="0"/>
      <w:marTop w:val="0"/>
      <w:marBottom w:val="0"/>
      <w:divBdr>
        <w:top w:val="none" w:sz="0" w:space="0" w:color="auto"/>
        <w:left w:val="none" w:sz="0" w:space="0" w:color="auto"/>
        <w:bottom w:val="none" w:sz="0" w:space="0" w:color="auto"/>
        <w:right w:val="none" w:sz="0" w:space="0" w:color="auto"/>
      </w:divBdr>
    </w:div>
    <w:div w:id="107894989">
      <w:marLeft w:val="0"/>
      <w:marRight w:val="0"/>
      <w:marTop w:val="0"/>
      <w:marBottom w:val="0"/>
      <w:divBdr>
        <w:top w:val="none" w:sz="0" w:space="0" w:color="auto"/>
        <w:left w:val="none" w:sz="0" w:space="0" w:color="auto"/>
        <w:bottom w:val="none" w:sz="0" w:space="0" w:color="auto"/>
        <w:right w:val="none" w:sz="0" w:space="0" w:color="auto"/>
      </w:divBdr>
    </w:div>
    <w:div w:id="107894990">
      <w:marLeft w:val="0"/>
      <w:marRight w:val="0"/>
      <w:marTop w:val="0"/>
      <w:marBottom w:val="0"/>
      <w:divBdr>
        <w:top w:val="none" w:sz="0" w:space="0" w:color="auto"/>
        <w:left w:val="none" w:sz="0" w:space="0" w:color="auto"/>
        <w:bottom w:val="none" w:sz="0" w:space="0" w:color="auto"/>
        <w:right w:val="none" w:sz="0" w:space="0" w:color="auto"/>
      </w:divBdr>
    </w:div>
    <w:div w:id="1816488785">
      <w:bodyDiv w:val="1"/>
      <w:marLeft w:val="0"/>
      <w:marRight w:val="0"/>
      <w:marTop w:val="0"/>
      <w:marBottom w:val="0"/>
      <w:divBdr>
        <w:top w:val="none" w:sz="0" w:space="0" w:color="auto"/>
        <w:left w:val="none" w:sz="0" w:space="0" w:color="auto"/>
        <w:bottom w:val="none" w:sz="0" w:space="0" w:color="auto"/>
        <w:right w:val="none" w:sz="0" w:space="0" w:color="auto"/>
      </w:divBdr>
    </w:div>
    <w:div w:id="19716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ringer.com/medicine/journal/11019"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EUROPEAN SOCIETY FOR PHILOSOPHY OF MEDICINE AND HEALTH CARE</vt:lpstr>
    </vt:vector>
  </TitlesOfParts>
  <Company>Hewlett-Packard</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SOCIETY FOR PHILOSOPHY OF MEDICINE AND HEALTH CARE</dc:title>
  <dc:subject/>
  <dc:creator>Ellis</dc:creator>
  <cp:keywords/>
  <dc:description/>
  <cp:lastModifiedBy>Ellis</cp:lastModifiedBy>
  <cp:revision>19</cp:revision>
  <dcterms:created xsi:type="dcterms:W3CDTF">2013-08-26T10:24:00Z</dcterms:created>
  <dcterms:modified xsi:type="dcterms:W3CDTF">2014-09-23T15:00:00Z</dcterms:modified>
</cp:coreProperties>
</file>